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C150" w14:textId="4862C966" w:rsidR="00880365" w:rsidRPr="00662C15" w:rsidRDefault="004105A7" w:rsidP="00BA0CD6">
      <w:pPr>
        <w:pStyle w:val="Nadpis2"/>
        <w:spacing w:before="0"/>
        <w:ind w:left="1440" w:hanging="144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Stavba</w:t>
      </w:r>
      <w:r w:rsidR="00880365" w:rsidRPr="00662C15">
        <w:rPr>
          <w:sz w:val="20"/>
          <w:szCs w:val="20"/>
        </w:rPr>
        <w:t xml:space="preserve"> :</w:t>
      </w:r>
      <w:r w:rsidR="00691B9B">
        <w:rPr>
          <w:sz w:val="20"/>
          <w:szCs w:val="20"/>
        </w:rPr>
        <w:tab/>
      </w:r>
      <w:r w:rsidR="00532EC6">
        <w:rPr>
          <w:sz w:val="20"/>
          <w:szCs w:val="20"/>
        </w:rPr>
        <w:t>Stavebn</w:t>
      </w:r>
      <w:r w:rsidR="007C6F28">
        <w:rPr>
          <w:sz w:val="20"/>
          <w:szCs w:val="20"/>
        </w:rPr>
        <w:t>á pripravenosť pre montáž RTG prístroja NR SYS C400 na I.NP UNM, Kollárová 2, Martin</w:t>
      </w:r>
    </w:p>
    <w:p w14:paraId="1CDDFE65" w14:textId="77777777" w:rsidR="004105A7" w:rsidRPr="00662C15" w:rsidRDefault="00880365" w:rsidP="006E04AE">
      <w:pPr>
        <w:pStyle w:val="Nadpis2"/>
        <w:spacing w:before="0"/>
        <w:jc w:val="both"/>
        <w:rPr>
          <w:spacing w:val="20"/>
          <w:sz w:val="20"/>
          <w:szCs w:val="20"/>
        </w:rPr>
      </w:pP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</w:p>
    <w:p w14:paraId="0B75247D" w14:textId="3021645F" w:rsidR="008016E0" w:rsidRPr="00662C15" w:rsidRDefault="00880365" w:rsidP="00BA0CD6">
      <w:pPr>
        <w:pStyle w:val="Nadpis2"/>
        <w:spacing w:before="0"/>
        <w:ind w:left="1440" w:hanging="144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Objekt:</w:t>
      </w:r>
      <w:r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>SO</w:t>
      </w:r>
      <w:r w:rsidR="00CE2C7E"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 xml:space="preserve">01 </w:t>
      </w:r>
      <w:r w:rsidR="00BA0CD6">
        <w:rPr>
          <w:sz w:val="20"/>
          <w:szCs w:val="20"/>
        </w:rPr>
        <w:t xml:space="preserve">Stavebné </w:t>
      </w:r>
      <w:r w:rsidR="00AB5585">
        <w:rPr>
          <w:sz w:val="20"/>
          <w:szCs w:val="20"/>
        </w:rPr>
        <w:t>úpravy</w:t>
      </w:r>
      <w:r w:rsidR="00BA0CD6">
        <w:rPr>
          <w:sz w:val="20"/>
          <w:szCs w:val="20"/>
        </w:rPr>
        <w:t xml:space="preserve"> </w:t>
      </w:r>
      <w:r w:rsidR="00E120E5">
        <w:rPr>
          <w:sz w:val="20"/>
          <w:szCs w:val="20"/>
        </w:rPr>
        <w:t>RTG</w:t>
      </w:r>
    </w:p>
    <w:p w14:paraId="280580F1" w14:textId="77777777" w:rsidR="00880365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</w:p>
    <w:p w14:paraId="7630537F" w14:textId="1F457560" w:rsidR="00E768EC" w:rsidRPr="00662C15" w:rsidRDefault="00880365" w:rsidP="00DE02FD">
      <w:pPr>
        <w:pStyle w:val="Nadpis2"/>
        <w:spacing w:before="0"/>
        <w:ind w:left="1440" w:hanging="144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Časť:</w:t>
      </w:r>
      <w:r w:rsidRPr="00662C15">
        <w:rPr>
          <w:sz w:val="20"/>
          <w:szCs w:val="20"/>
        </w:rPr>
        <w:tab/>
      </w:r>
      <w:r w:rsidR="00CE2C7E" w:rsidRPr="00662C15">
        <w:rPr>
          <w:spacing w:val="20"/>
          <w:sz w:val="20"/>
          <w:szCs w:val="20"/>
        </w:rPr>
        <w:t>Slaboprúdové rozvody</w:t>
      </w:r>
      <w:r w:rsidR="0084705F">
        <w:rPr>
          <w:spacing w:val="20"/>
          <w:sz w:val="20"/>
          <w:szCs w:val="20"/>
        </w:rPr>
        <w:t>, štruktúrovaná kabeláž</w:t>
      </w:r>
    </w:p>
    <w:p w14:paraId="370026F3" w14:textId="77777777" w:rsidR="00E768EC" w:rsidRPr="00662C15" w:rsidRDefault="00E768EC" w:rsidP="006E04AE">
      <w:pPr>
        <w:pStyle w:val="Hlavika"/>
        <w:jc w:val="both"/>
        <w:rPr>
          <w:rFonts w:ascii="Arial" w:hAnsi="Arial" w:cs="Arial"/>
          <w:b/>
          <w:spacing w:val="20"/>
        </w:rPr>
      </w:pPr>
    </w:p>
    <w:p w14:paraId="1BE2FCD7" w14:textId="77777777" w:rsidR="004105A7" w:rsidRPr="00662C15" w:rsidRDefault="00E768EC" w:rsidP="00885878">
      <w:pPr>
        <w:pStyle w:val="Hlavika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662C15">
        <w:rPr>
          <w:rFonts w:ascii="Arial" w:hAnsi="Arial" w:cs="Arial"/>
          <w:b/>
          <w:sz w:val="32"/>
          <w:szCs w:val="32"/>
          <w:u w:val="single"/>
        </w:rPr>
        <w:t>Technická správa</w:t>
      </w:r>
    </w:p>
    <w:p w14:paraId="6E0A7F4C" w14:textId="77777777" w:rsidR="00E768EC" w:rsidRPr="00662C15" w:rsidRDefault="00E768EC" w:rsidP="006E04AE">
      <w:pPr>
        <w:jc w:val="both"/>
        <w:rPr>
          <w:rFonts w:ascii="Arial" w:hAnsi="Arial" w:cs="Arial"/>
          <w:b/>
          <w:bCs/>
          <w:u w:val="single"/>
        </w:rPr>
      </w:pPr>
    </w:p>
    <w:p w14:paraId="23C2737B" w14:textId="77777777" w:rsidR="008016E0" w:rsidRPr="00662C15" w:rsidRDefault="008016E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Všeobecné údaje</w:t>
      </w:r>
    </w:p>
    <w:p w14:paraId="75D50CAC" w14:textId="77777777" w:rsidR="00880365" w:rsidRPr="00662C15" w:rsidRDefault="00880365" w:rsidP="006E04AE">
      <w:pPr>
        <w:pStyle w:val="Odsekzoznamu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541E45" w14:textId="77777777" w:rsidR="003F354C" w:rsidRPr="00662C15" w:rsidRDefault="00880365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Predmet dokumentácie</w:t>
      </w:r>
    </w:p>
    <w:p w14:paraId="7B19F33C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2D955183" w14:textId="54B8ECA7" w:rsidR="003F354C" w:rsidRPr="00662C15" w:rsidRDefault="003F354C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Predmetom tejto projektovej dokumentácie je návrh </w:t>
      </w:r>
      <w:r w:rsidR="000366A8" w:rsidRPr="00662C15">
        <w:rPr>
          <w:rFonts w:ascii="Arial" w:hAnsi="Arial" w:cs="Arial"/>
        </w:rPr>
        <w:t>r</w:t>
      </w:r>
      <w:r w:rsidR="0084705F">
        <w:rPr>
          <w:rFonts w:ascii="Arial" w:hAnsi="Arial" w:cs="Arial"/>
        </w:rPr>
        <w:t>iešenia</w:t>
      </w:r>
      <w:r w:rsidR="00691B9B">
        <w:rPr>
          <w:rFonts w:ascii="Arial" w:hAnsi="Arial" w:cs="Arial"/>
        </w:rPr>
        <w:t xml:space="preserve"> </w:t>
      </w:r>
      <w:r w:rsidR="0084705F">
        <w:rPr>
          <w:rFonts w:ascii="Arial" w:hAnsi="Arial" w:cs="Arial"/>
        </w:rPr>
        <w:t xml:space="preserve">slaboprúdových rozvodov a technológií </w:t>
      </w:r>
      <w:r w:rsidRPr="00662C15">
        <w:rPr>
          <w:rFonts w:ascii="Arial" w:hAnsi="Arial" w:cs="Arial"/>
        </w:rPr>
        <w:t>v</w:t>
      </w:r>
      <w:r w:rsidR="00205986">
        <w:rPr>
          <w:rFonts w:ascii="Arial" w:hAnsi="Arial" w:cs="Arial"/>
        </w:rPr>
        <w:t> projekte</w:t>
      </w:r>
      <w:r w:rsidR="0084705F">
        <w:rPr>
          <w:rFonts w:ascii="Arial" w:hAnsi="Arial" w:cs="Arial"/>
        </w:rPr>
        <w:t xml:space="preserve"> </w:t>
      </w:r>
      <w:r w:rsidR="007C6F28">
        <w:rPr>
          <w:rFonts w:ascii="Arial" w:hAnsi="Arial" w:cs="Arial"/>
        </w:rPr>
        <w:t>stavebnej pripravenosti pre montáž RTG prístroja NR SYS C400 na I.NP UN Martin, Kollárová 2, Martin</w:t>
      </w:r>
      <w:r w:rsidR="00532EC6">
        <w:rPr>
          <w:rFonts w:ascii="Arial" w:hAnsi="Arial" w:cs="Arial"/>
        </w:rPr>
        <w:t>.</w:t>
      </w:r>
    </w:p>
    <w:p w14:paraId="5464ED39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3EED8D5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Základné identifikačné údaje o stavbe:</w:t>
      </w:r>
    </w:p>
    <w:p w14:paraId="3A54BA3E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</w:p>
    <w:p w14:paraId="5D302A1E" w14:textId="6A1EA669" w:rsidR="003F354C" w:rsidRPr="00662C15" w:rsidRDefault="003F354C" w:rsidP="006E04AE">
      <w:pPr>
        <w:pStyle w:val="Nadpis2"/>
        <w:spacing w:before="0"/>
        <w:ind w:left="2160" w:hanging="2160"/>
        <w:jc w:val="both"/>
        <w:rPr>
          <w:sz w:val="20"/>
          <w:szCs w:val="20"/>
        </w:rPr>
      </w:pPr>
      <w:r w:rsidRPr="00662C15">
        <w:rPr>
          <w:b w:val="0"/>
          <w:sz w:val="20"/>
          <w:szCs w:val="20"/>
        </w:rPr>
        <w:t>Názov projektu:</w:t>
      </w:r>
      <w:r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ab/>
      </w:r>
      <w:r w:rsidR="007C6F28">
        <w:rPr>
          <w:b w:val="0"/>
          <w:sz w:val="20"/>
          <w:szCs w:val="20"/>
        </w:rPr>
        <w:t>Stavebná pripravenosť pre montáž RTG prístroja NR SYS C400 na I.NP UNM, Martin</w:t>
      </w:r>
    </w:p>
    <w:p w14:paraId="1BCCA4D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Charakter stavby: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Rekonštrukcia</w:t>
      </w:r>
    </w:p>
    <w:p w14:paraId="14DD24E0" w14:textId="387DF7E1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Investor: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7C6F28">
        <w:rPr>
          <w:color w:val="auto"/>
          <w:sz w:val="20"/>
          <w:szCs w:val="20"/>
        </w:rPr>
        <w:t>Univerzitná nemocnica Martin,</w:t>
      </w:r>
      <w:r w:rsidRPr="00662C15">
        <w:rPr>
          <w:color w:val="auto"/>
          <w:sz w:val="20"/>
          <w:szCs w:val="20"/>
        </w:rPr>
        <w:t xml:space="preserve"> </w:t>
      </w:r>
      <w:r w:rsidR="007C6F28">
        <w:rPr>
          <w:color w:val="auto"/>
          <w:sz w:val="20"/>
          <w:szCs w:val="20"/>
        </w:rPr>
        <w:t>Kollárová 2, 036 01 Martin</w:t>
      </w:r>
    </w:p>
    <w:p w14:paraId="02DC6B83" w14:textId="4970990E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Hlavný projektant: 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 xml:space="preserve">Domino </w:t>
      </w:r>
      <w:proofErr w:type="spellStart"/>
      <w:r w:rsidR="00DE02FD">
        <w:rPr>
          <w:color w:val="auto"/>
          <w:sz w:val="20"/>
          <w:szCs w:val="20"/>
        </w:rPr>
        <w:t>Invest</w:t>
      </w:r>
      <w:proofErr w:type="spellEnd"/>
      <w:r w:rsidR="00DE02FD">
        <w:rPr>
          <w:color w:val="auto"/>
          <w:sz w:val="20"/>
          <w:szCs w:val="20"/>
        </w:rPr>
        <w:t xml:space="preserve"> s.r.o.</w:t>
      </w:r>
      <w:r w:rsidR="000366A8" w:rsidRPr="00662C15">
        <w:rPr>
          <w:color w:val="auto"/>
          <w:sz w:val="20"/>
          <w:szCs w:val="20"/>
        </w:rPr>
        <w:t xml:space="preserve"> Ing. Juraj Šuty, </w:t>
      </w:r>
      <w:proofErr w:type="spellStart"/>
      <w:r w:rsidR="00DE02FD">
        <w:rPr>
          <w:color w:val="auto"/>
          <w:sz w:val="20"/>
          <w:szCs w:val="20"/>
        </w:rPr>
        <w:t>Szakkayho</w:t>
      </w:r>
      <w:proofErr w:type="spellEnd"/>
      <w:r w:rsidR="00DE02FD">
        <w:rPr>
          <w:color w:val="auto"/>
          <w:sz w:val="20"/>
          <w:szCs w:val="20"/>
        </w:rPr>
        <w:t xml:space="preserve"> 1</w:t>
      </w:r>
      <w:r w:rsidR="000366A8" w:rsidRPr="00662C15">
        <w:rPr>
          <w:color w:val="auto"/>
          <w:sz w:val="20"/>
          <w:szCs w:val="20"/>
        </w:rPr>
        <w:t>, Košice</w:t>
      </w:r>
    </w:p>
    <w:p w14:paraId="119240D2" w14:textId="41EC5D46" w:rsidR="003F354C" w:rsidRPr="00662C15" w:rsidRDefault="003F354C" w:rsidP="00DE02FD">
      <w:pPr>
        <w:pStyle w:val="Default"/>
        <w:ind w:left="2160" w:hanging="2160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Časť: 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SLP - Slaboprúdové rozvody</w:t>
      </w:r>
    </w:p>
    <w:p w14:paraId="32CD615A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Stupeň dokumentácie: </w:t>
      </w:r>
      <w:r w:rsidRPr="00662C15">
        <w:rPr>
          <w:color w:val="auto"/>
          <w:sz w:val="20"/>
          <w:szCs w:val="20"/>
        </w:rPr>
        <w:tab/>
      </w:r>
      <w:r w:rsidR="00BA755C" w:rsidRPr="00662C15">
        <w:rPr>
          <w:color w:val="auto"/>
          <w:sz w:val="20"/>
          <w:szCs w:val="20"/>
        </w:rPr>
        <w:t>Projekt</w:t>
      </w:r>
      <w:r w:rsidRPr="00662C15">
        <w:rPr>
          <w:color w:val="auto"/>
          <w:sz w:val="20"/>
          <w:szCs w:val="20"/>
        </w:rPr>
        <w:t xml:space="preserve"> </w:t>
      </w:r>
    </w:p>
    <w:p w14:paraId="0C1C81DB" w14:textId="1E9C1012" w:rsidR="003F354C" w:rsidRPr="00662C15" w:rsidRDefault="00532EC6" w:rsidP="006E04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C6F28">
        <w:rPr>
          <w:rFonts w:ascii="Arial" w:hAnsi="Arial" w:cs="Arial"/>
        </w:rPr>
        <w:t>01</w:t>
      </w:r>
      <w:r w:rsidR="003F354C" w:rsidRPr="00662C15">
        <w:rPr>
          <w:rFonts w:ascii="Arial" w:hAnsi="Arial" w:cs="Arial"/>
        </w:rPr>
        <w:t>/20</w:t>
      </w:r>
      <w:r w:rsidR="000366A8" w:rsidRPr="00662C15">
        <w:rPr>
          <w:rFonts w:ascii="Arial" w:hAnsi="Arial" w:cs="Arial"/>
        </w:rPr>
        <w:t>2</w:t>
      </w:r>
      <w:r w:rsidR="007C6F28">
        <w:rPr>
          <w:rFonts w:ascii="Arial" w:hAnsi="Arial" w:cs="Arial"/>
        </w:rPr>
        <w:t>4</w:t>
      </w:r>
    </w:p>
    <w:p w14:paraId="3CAE5EF6" w14:textId="77777777" w:rsidR="000366A8" w:rsidRPr="00662C15" w:rsidRDefault="000366A8" w:rsidP="006E04AE">
      <w:pPr>
        <w:jc w:val="both"/>
        <w:rPr>
          <w:rFonts w:ascii="Arial" w:hAnsi="Arial" w:cs="Arial"/>
        </w:rPr>
      </w:pPr>
    </w:p>
    <w:p w14:paraId="087DEA3F" w14:textId="77777777" w:rsidR="008016E0" w:rsidRPr="00662C15" w:rsidRDefault="008016E0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 xml:space="preserve">Projekčné </w:t>
      </w:r>
      <w:r w:rsidR="00366562" w:rsidRPr="00662C15">
        <w:rPr>
          <w:rFonts w:ascii="Arial" w:hAnsi="Arial" w:cs="Arial"/>
          <w:b/>
          <w:bCs/>
          <w:u w:val="single"/>
        </w:rPr>
        <w:t xml:space="preserve">podklady, </w:t>
      </w:r>
      <w:r w:rsidRPr="00662C15">
        <w:rPr>
          <w:rFonts w:ascii="Arial" w:hAnsi="Arial" w:cs="Arial"/>
          <w:b/>
          <w:bCs/>
          <w:u w:val="single"/>
        </w:rPr>
        <w:t>predpisy, normy</w:t>
      </w:r>
    </w:p>
    <w:p w14:paraId="6190356C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45E5576" w14:textId="0B0A27F4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Pôdorysné stavebné výkresy</w:t>
      </w:r>
      <w:r w:rsidR="00244CA9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 xml:space="preserve">objektu vypracované projekčnou organizáciou </w:t>
      </w:r>
      <w:r w:rsidR="000366A8" w:rsidRPr="00662C15">
        <w:rPr>
          <w:rFonts w:ascii="Arial" w:hAnsi="Arial" w:cs="Arial"/>
        </w:rPr>
        <w:t xml:space="preserve">Domino </w:t>
      </w:r>
      <w:proofErr w:type="spellStart"/>
      <w:r w:rsidR="00DE02FD">
        <w:rPr>
          <w:rFonts w:ascii="Arial" w:hAnsi="Arial" w:cs="Arial"/>
        </w:rPr>
        <w:t>Invest</w:t>
      </w:r>
      <w:proofErr w:type="spellEnd"/>
    </w:p>
    <w:p w14:paraId="620178EA" w14:textId="77777777" w:rsidR="008016E0" w:rsidRPr="00662C15" w:rsidRDefault="003F354C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Požiadavky investora</w:t>
      </w:r>
    </w:p>
    <w:p w14:paraId="6D889C52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2CE1E489" w14:textId="77777777" w:rsidR="002752C6" w:rsidRPr="00662C15" w:rsidRDefault="00A94DB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Použité </w:t>
      </w:r>
      <w:r w:rsidR="00BF6FC7" w:rsidRPr="00662C15">
        <w:rPr>
          <w:rFonts w:ascii="Arial" w:hAnsi="Arial" w:cs="Arial"/>
        </w:rPr>
        <w:t>normy</w:t>
      </w:r>
      <w:r w:rsidRPr="00662C15">
        <w:rPr>
          <w:rFonts w:ascii="Arial" w:hAnsi="Arial" w:cs="Arial"/>
        </w:rPr>
        <w:t>:</w:t>
      </w:r>
    </w:p>
    <w:p w14:paraId="7109213A" w14:textId="349B9525" w:rsidR="002752C6" w:rsidRPr="00662C15" w:rsidRDefault="00953D92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3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 61140</w:t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Ochrana pred úrazom elektrickým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prúdom</w:t>
      </w:r>
    </w:p>
    <w:p w14:paraId="3BC1B03D" w14:textId="0B8997CC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- Rozsah platnosti, účel a základné podmienky</w:t>
      </w:r>
    </w:p>
    <w:p w14:paraId="6C3AB047" w14:textId="4E723136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 2000-4-41:2007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zariadenia - Časť 4: Bezpečnosť – Kapitola 41: Ochrana pred úrazom elektrickým prúdom</w:t>
      </w:r>
    </w:p>
    <w:p w14:paraId="5369E1DC" w14:textId="6A7059AE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33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2000-4-43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Elektrické zariadenia - Časť4: Bezpečnosť – Kapitola 43:Ochrana proti</w:t>
      </w:r>
      <w:r w:rsidRPr="00662C15">
        <w:rPr>
          <w:rFonts w:ascii="Arial" w:hAnsi="Arial" w:cs="Arial"/>
          <w:spacing w:val="-12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nadprúdom</w:t>
      </w:r>
    </w:p>
    <w:p w14:paraId="65655EE8" w14:textId="1A68CD73" w:rsidR="00953D92" w:rsidRPr="00662C15" w:rsidRDefault="00953D92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Výber a stavba elektrických zariadení. Spoločné pravidlá</w:t>
      </w:r>
    </w:p>
    <w:p w14:paraId="22898935" w14:textId="3BA5AFF7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Elektrické rozvody</w:t>
      </w:r>
    </w:p>
    <w:p w14:paraId="11618202" w14:textId="39193054" w:rsidR="002752C6" w:rsidRDefault="00774AD3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774AD3">
        <w:rPr>
          <w:rFonts w:ascii="Arial" w:hAnsi="Arial" w:cs="Arial"/>
          <w:sz w:val="16"/>
          <w:szCs w:val="16"/>
        </w:rPr>
        <w:t>STN 33 2000-5-52:2012-04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2752C6" w:rsidRPr="00662C15">
        <w:rPr>
          <w:rFonts w:ascii="Arial" w:hAnsi="Arial" w:cs="Arial"/>
          <w:sz w:val="16"/>
          <w:szCs w:val="16"/>
        </w:rPr>
        <w:t>Dovolené prúdy</w:t>
      </w:r>
    </w:p>
    <w:p w14:paraId="6D9B1177" w14:textId="425E082C" w:rsidR="00774AD3" w:rsidRPr="00662C15" w:rsidRDefault="00774AD3" w:rsidP="00774AD3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STN 33 2000-7-710</w:t>
      </w:r>
      <w:r>
        <w:rPr>
          <w:rFonts w:ascii="Arial" w:hAnsi="Arial" w:cs="Arial"/>
          <w:sz w:val="16"/>
          <w:szCs w:val="16"/>
        </w:rPr>
        <w:tab/>
        <w:t>Elektrické inštalácie nízkeho napätia. Čas 7-710: Požiadavky na osobitné inštalácie alebo priestory. Zdravotnícke priestory</w:t>
      </w:r>
    </w:p>
    <w:p w14:paraId="087D52FE" w14:textId="7A2FDA41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4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 xml:space="preserve">50173 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Informačná technika. Generické káblové systémy</w:t>
      </w:r>
    </w:p>
    <w:p w14:paraId="64C552B4" w14:textId="06493B53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MPSVaR SR č. 508/2009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 xml:space="preserve">Zaistenie bezpečnosti a ochrany zdravia pri práci a bezpečnosť </w:t>
      </w:r>
      <w:proofErr w:type="spellStart"/>
      <w:r w:rsidRPr="00662C15">
        <w:rPr>
          <w:rFonts w:ascii="Arial" w:hAnsi="Arial" w:cs="Arial"/>
          <w:sz w:val="16"/>
          <w:szCs w:val="16"/>
        </w:rPr>
        <w:t>tech</w:t>
      </w:r>
      <w:proofErr w:type="spellEnd"/>
      <w:r w:rsidRPr="00662C15">
        <w:rPr>
          <w:rFonts w:ascii="Arial" w:hAnsi="Arial" w:cs="Arial"/>
          <w:sz w:val="16"/>
          <w:szCs w:val="16"/>
        </w:rPr>
        <w:t>. zariadení</w:t>
      </w:r>
    </w:p>
    <w:p w14:paraId="0102A447" w14:textId="62A8F198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MV SR č. 288/2000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Technické požiadavky na požiarnu bezpečnosť pri výrobe a užívaní stavieb</w:t>
      </w:r>
    </w:p>
    <w:p w14:paraId="5D64E5F3" w14:textId="13B74DC9" w:rsidR="00366562" w:rsidRDefault="002752C6" w:rsidP="006E04AE">
      <w:pPr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ISO/IEC 11801:2017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Základné požiadavky na prenosové parametre</w:t>
      </w:r>
    </w:p>
    <w:p w14:paraId="17FDE0B2" w14:textId="00C34606" w:rsidR="00254472" w:rsidRPr="00254472" w:rsidRDefault="00254472" w:rsidP="00254472">
      <w:pPr>
        <w:ind w:left="2975" w:hanging="2975"/>
        <w:jc w:val="both"/>
        <w:rPr>
          <w:rFonts w:ascii="Arial" w:hAnsi="Arial" w:cs="Arial"/>
          <w:sz w:val="16"/>
          <w:szCs w:val="16"/>
        </w:rPr>
      </w:pPr>
      <w:r w:rsidRPr="00254472">
        <w:rPr>
          <w:rFonts w:ascii="Arial" w:hAnsi="Arial" w:cs="Arial"/>
          <w:sz w:val="16"/>
          <w:szCs w:val="16"/>
        </w:rPr>
        <w:t>Protokol o určení vplyvu prostredia je súčasťou projektu NN rozvodov</w:t>
      </w:r>
    </w:p>
    <w:p w14:paraId="5AF5873C" w14:textId="01A1D6A9" w:rsidR="00254472" w:rsidRPr="00254472" w:rsidRDefault="00254472" w:rsidP="00254472">
      <w:pPr>
        <w:jc w:val="both"/>
        <w:rPr>
          <w:rFonts w:ascii="Arial" w:hAnsi="Arial" w:cs="Arial"/>
          <w:sz w:val="16"/>
          <w:szCs w:val="16"/>
        </w:rPr>
      </w:pPr>
      <w:r w:rsidRPr="00254472">
        <w:rPr>
          <w:rFonts w:ascii="Arial" w:hAnsi="Arial" w:cs="Arial"/>
          <w:sz w:val="16"/>
          <w:szCs w:val="16"/>
          <w:lang w:eastAsia="sk-SK"/>
        </w:rPr>
        <w:t>a ďalšie s nimi súvisiace normy, vyhlášky a predpisy platné v dobe realizácie stavby.</w:t>
      </w:r>
    </w:p>
    <w:p w14:paraId="02D670ED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77B6E446" w14:textId="77777777" w:rsidR="00913639" w:rsidRPr="00662C15" w:rsidRDefault="00514326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</w:t>
      </w:r>
      <w:r w:rsidR="00E768EC" w:rsidRPr="00662C15">
        <w:rPr>
          <w:rFonts w:ascii="Arial" w:hAnsi="Arial" w:cs="Arial"/>
          <w:b/>
          <w:bCs/>
        </w:rPr>
        <w:t>rojekt rieši:</w:t>
      </w:r>
    </w:p>
    <w:p w14:paraId="3E6049C4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0EFACA2F" w14:textId="45EBCD30" w:rsidR="002752C6" w:rsidRDefault="00774AD3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Riešenie požiadaviek technológie na dátové pripojenie</w:t>
      </w:r>
    </w:p>
    <w:p w14:paraId="690B0A28" w14:textId="3EDFDFE4" w:rsidR="007C6F28" w:rsidRPr="00662C15" w:rsidRDefault="007C6F28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Rozšírenie štruktúrovanej kabeláže</w:t>
      </w:r>
    </w:p>
    <w:p w14:paraId="462B28B8" w14:textId="38E1B61A" w:rsidR="002752C6" w:rsidRDefault="00774AD3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Komunikačné dorozumievacie zariadenie</w:t>
      </w:r>
    </w:p>
    <w:p w14:paraId="3456FADE" w14:textId="0E0A7E60" w:rsidR="0043642F" w:rsidRDefault="007C6F28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IP kamera pre dohľad nad pacientom počas vyšetrenia</w:t>
      </w:r>
    </w:p>
    <w:p w14:paraId="46638453" w14:textId="77777777" w:rsidR="007C6F28" w:rsidRDefault="007C6F28" w:rsidP="007C6F28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p w14:paraId="08A192A2" w14:textId="77777777" w:rsidR="007C6F28" w:rsidRPr="00AC6DE8" w:rsidRDefault="007C6F28" w:rsidP="007C6F28">
      <w:pPr>
        <w:pStyle w:val="Odsekzoznamu"/>
        <w:ind w:left="0"/>
        <w:rPr>
          <w:rFonts w:ascii="Arial" w:hAnsi="Arial" w:cs="Arial"/>
          <w:b/>
          <w:bCs/>
        </w:rPr>
      </w:pPr>
      <w:bookmarkStart w:id="0" w:name="_Toc126290914"/>
      <w:bookmarkStart w:id="1" w:name="_Toc256587658"/>
      <w:bookmarkStart w:id="2" w:name="_Toc508012487"/>
      <w:bookmarkStart w:id="3" w:name="_Toc511034423"/>
      <w:r w:rsidRPr="00AC6DE8">
        <w:rPr>
          <w:rFonts w:ascii="Arial" w:hAnsi="Arial" w:cs="Arial"/>
          <w:b/>
          <w:bCs/>
        </w:rPr>
        <w:t>Rozdelenie technických zariadení podľa miery ohrozenia</w:t>
      </w:r>
      <w:bookmarkEnd w:id="0"/>
      <w:bookmarkEnd w:id="1"/>
      <w:bookmarkEnd w:id="2"/>
      <w:bookmarkEnd w:id="3"/>
    </w:p>
    <w:p w14:paraId="39831197" w14:textId="77777777" w:rsidR="007C6F28" w:rsidRPr="00AC6DE8" w:rsidRDefault="007C6F28" w:rsidP="007C6F28">
      <w:pPr>
        <w:pStyle w:val="Odsekzoznamu"/>
        <w:ind w:left="0"/>
        <w:rPr>
          <w:rFonts w:ascii="Arial" w:hAnsi="Arial" w:cs="Arial"/>
          <w:b/>
          <w:bCs/>
        </w:rPr>
      </w:pPr>
    </w:p>
    <w:p w14:paraId="25A7E020" w14:textId="35371878" w:rsidR="00D81487" w:rsidRPr="007C6F28" w:rsidRDefault="007C6F28" w:rsidP="007C6F28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AC6DE8">
        <w:rPr>
          <w:rFonts w:ascii="Arial" w:hAnsi="Arial" w:cs="Arial"/>
        </w:rPr>
        <w:t>Elektrické zariadenie, riešené v tejto projektovej dokumentácii je zatriedené do skupiny,, B“  zariadení s vyššou mierou ohrozenia a do skupiny ,,C“.</w:t>
      </w:r>
    </w:p>
    <w:p w14:paraId="344DEB9D" w14:textId="77777777" w:rsidR="00913639" w:rsidRPr="00662C15" w:rsidRDefault="00913639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lastRenderedPageBreak/>
        <w:t>Napäťová sústava, ochrana a prostredie.</w:t>
      </w:r>
    </w:p>
    <w:p w14:paraId="2C54C485" w14:textId="77777777" w:rsidR="00FB39F6" w:rsidRPr="00662C15" w:rsidRDefault="00FB39F6" w:rsidP="006E04AE">
      <w:pPr>
        <w:jc w:val="both"/>
        <w:rPr>
          <w:rFonts w:ascii="Arial" w:hAnsi="Arial" w:cs="Arial"/>
          <w:b/>
          <w:bCs/>
        </w:rPr>
      </w:pPr>
    </w:p>
    <w:p w14:paraId="4B03FE07" w14:textId="77777777" w:rsidR="00AE0128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Druh siete podľa STN 33 2000-1 čl.312.2.1</w:t>
      </w:r>
      <w:r w:rsidR="00AE0128" w:rsidRPr="00662C15">
        <w:rPr>
          <w:rFonts w:ascii="Arial" w:hAnsi="Arial" w:cs="Arial"/>
        </w:rPr>
        <w:t xml:space="preserve">  </w:t>
      </w:r>
    </w:p>
    <w:p w14:paraId="733538F8" w14:textId="77777777" w:rsidR="00AE0128" w:rsidRPr="00662C15" w:rsidRDefault="0034519E" w:rsidP="006E04A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Napäťová sústava:</w:t>
      </w:r>
      <w:r w:rsidRPr="00662C15">
        <w:rPr>
          <w:color w:val="auto"/>
          <w:sz w:val="20"/>
          <w:szCs w:val="20"/>
        </w:rPr>
        <w:tab/>
        <w:t>3/N/PE AC 400/230 V 50 Hz, TN-S – rozvod v objekte</w:t>
      </w:r>
    </w:p>
    <w:p w14:paraId="5BD7678C" w14:textId="1CFCA4E9" w:rsidR="004D2020" w:rsidRPr="00662C15" w:rsidRDefault="004D2020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</w:rPr>
        <w:t>Napäťová sústava:</w:t>
      </w:r>
      <w:r w:rsidR="0034519E" w:rsidRPr="00662C15">
        <w:rPr>
          <w:rFonts w:ascii="Arial" w:hAnsi="Arial" w:cs="Arial"/>
        </w:rPr>
        <w:tab/>
      </w:r>
      <w:r w:rsidR="008B5736" w:rsidRPr="00662C15">
        <w:rPr>
          <w:rFonts w:ascii="Arial" w:hAnsi="Arial" w:cs="Arial"/>
        </w:rPr>
        <w:t>1</w:t>
      </w:r>
      <w:r w:rsidRPr="00662C15">
        <w:rPr>
          <w:rFonts w:ascii="Arial" w:hAnsi="Arial" w:cs="Arial"/>
          <w:bCs/>
        </w:rPr>
        <w:t xml:space="preserve">2 </w:t>
      </w:r>
      <w:r w:rsidR="00E768EC" w:rsidRPr="00662C15">
        <w:rPr>
          <w:rFonts w:ascii="Arial" w:hAnsi="Arial" w:cs="Arial"/>
          <w:bCs/>
        </w:rPr>
        <w:t xml:space="preserve">- </w:t>
      </w:r>
      <w:r w:rsidR="008B5736" w:rsidRPr="00662C15">
        <w:rPr>
          <w:rFonts w:ascii="Arial" w:hAnsi="Arial" w:cs="Arial"/>
          <w:bCs/>
        </w:rPr>
        <w:t>48</w:t>
      </w:r>
      <w:r w:rsidRPr="00662C15">
        <w:rPr>
          <w:rFonts w:ascii="Arial" w:hAnsi="Arial" w:cs="Arial"/>
          <w:bCs/>
        </w:rPr>
        <w:t>V,</w:t>
      </w:r>
      <w:r w:rsidR="00B82C2A" w:rsidRPr="00662C15">
        <w:rPr>
          <w:rFonts w:ascii="Arial" w:hAnsi="Arial" w:cs="Arial"/>
          <w:bCs/>
        </w:rPr>
        <w:t>DC/</w:t>
      </w:r>
      <w:r w:rsidRPr="00662C15">
        <w:rPr>
          <w:rFonts w:ascii="Arial" w:hAnsi="Arial" w:cs="Arial"/>
          <w:bCs/>
        </w:rPr>
        <w:t>PELV</w:t>
      </w:r>
    </w:p>
    <w:p w14:paraId="71AC3D99" w14:textId="77777777" w:rsidR="00AE0128" w:rsidRPr="00662C15" w:rsidRDefault="00AE0128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Ochrana pred úrazom el.</w:t>
      </w:r>
      <w:r w:rsidR="00B33D40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prúdom podľa STN 33 2000-4-41:</w:t>
      </w:r>
    </w:p>
    <w:p w14:paraId="77C40B5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</w:t>
      </w:r>
      <w:r w:rsidR="006F17ED" w:rsidRPr="00662C15">
        <w:rPr>
          <w:rFonts w:ascii="Arial" w:hAnsi="Arial" w:cs="Arial"/>
          <w:bCs/>
        </w:rPr>
        <w:t>t</w:t>
      </w:r>
      <w:r w:rsidRPr="00662C15">
        <w:rPr>
          <w:rFonts w:ascii="Arial" w:hAnsi="Arial" w:cs="Arial"/>
          <w:bCs/>
        </w:rPr>
        <w:t>renie: Samočinné o</w:t>
      </w:r>
      <w:r w:rsidR="004D2020" w:rsidRPr="00662C15">
        <w:rPr>
          <w:rFonts w:ascii="Arial" w:hAnsi="Arial" w:cs="Arial"/>
          <w:bCs/>
        </w:rPr>
        <w:t>dpojenie napájanie (kapitola 413.1</w:t>
      </w:r>
      <w:r w:rsidRPr="00662C15">
        <w:rPr>
          <w:rFonts w:ascii="Arial" w:hAnsi="Arial" w:cs="Arial"/>
          <w:bCs/>
        </w:rPr>
        <w:t>)</w:t>
      </w:r>
    </w:p>
    <w:p w14:paraId="36F322A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( ochrana pred priamym dotykom) je zabezpečená:</w:t>
      </w:r>
    </w:p>
    <w:p w14:paraId="28844C3D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Základnou izoláciou živých častí, alebo zábranami, alebo krytmi v súlade s prílohou A</w:t>
      </w:r>
    </w:p>
    <w:p w14:paraId="766D7A27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Ochrana pri poruche ( ochrana pre nepriamym dotykom je zabezpečená</w:t>
      </w:r>
      <w:r w:rsidR="00366562" w:rsidRPr="00662C15">
        <w:rPr>
          <w:rFonts w:ascii="Arial" w:hAnsi="Arial" w:cs="Arial"/>
          <w:bCs/>
        </w:rPr>
        <w:t>)</w:t>
      </w:r>
      <w:r w:rsidRPr="00662C15">
        <w:rPr>
          <w:rFonts w:ascii="Arial" w:hAnsi="Arial" w:cs="Arial"/>
          <w:bCs/>
        </w:rPr>
        <w:t>:</w:t>
      </w:r>
    </w:p>
    <w:p w14:paraId="60F41AA2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Ochranným pospájaním a samočinným odpojením napájania pri poruche v súlade s 411.3 a 411.6</w:t>
      </w:r>
    </w:p>
    <w:p w14:paraId="0FAEAB6C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opatrenie: Malé napätie SELV a PELV ( kapitola 414):</w:t>
      </w:r>
    </w:p>
    <w:p w14:paraId="3AF2F74C" w14:textId="77777777" w:rsidR="00E97CAC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a ochrana  pri poruche je zabezpečená v zmysle kapitoly 414.2</w:t>
      </w:r>
    </w:p>
    <w:p w14:paraId="1605E6C5" w14:textId="77777777" w:rsidR="009864F4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Druh siete podľa STN 33 2000-1 čl.312.2.3  </w:t>
      </w:r>
    </w:p>
    <w:p w14:paraId="7B72C3F7" w14:textId="77777777" w:rsidR="006F17ED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  <w:bCs/>
        </w:rPr>
      </w:pPr>
    </w:p>
    <w:p w14:paraId="0ED3FE12" w14:textId="24D6AD26" w:rsidR="004C3ED5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  <w:bCs/>
        </w:rPr>
        <w:t xml:space="preserve">Vplyvy </w:t>
      </w:r>
      <w:r w:rsidRPr="00662C15">
        <w:rPr>
          <w:rFonts w:ascii="Arial" w:hAnsi="Arial" w:cs="Arial"/>
        </w:rPr>
        <w:t>prostredia:               Protokol o určení vplyvu prostredia je súčasťou projektu Elektro.</w:t>
      </w:r>
    </w:p>
    <w:p w14:paraId="75C6BE72" w14:textId="77777777" w:rsidR="005568F8" w:rsidRPr="00662C15" w:rsidRDefault="005568F8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6485074F" w14:textId="77777777" w:rsidR="00D44273" w:rsidRPr="00662C15" w:rsidRDefault="00581898" w:rsidP="006E04AE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Technické riešenie</w:t>
      </w:r>
    </w:p>
    <w:p w14:paraId="5E76511E" w14:textId="77777777" w:rsidR="0034519E" w:rsidRPr="00662C15" w:rsidRDefault="0034519E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52B8E34A" w14:textId="5D455FFB" w:rsidR="00236874" w:rsidRDefault="00236874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b/>
          <w:u w:val="single"/>
        </w:rPr>
      </w:pPr>
      <w:r w:rsidRPr="00662C15">
        <w:rPr>
          <w:rFonts w:ascii="Arial" w:hAnsi="Arial" w:cs="Arial"/>
          <w:b/>
          <w:u w:val="single"/>
        </w:rPr>
        <w:t>Popis zapojenia kabelážneho systému Cat.6A a požiadavky na dokladovú časť riešeni</w:t>
      </w:r>
      <w:r w:rsidRPr="00662C15">
        <w:rPr>
          <w:rFonts w:ascii="Arial" w:hAnsi="Arial" w:cs="Arial"/>
          <w:b/>
        </w:rPr>
        <w:t>a</w:t>
      </w:r>
    </w:p>
    <w:p w14:paraId="7EB2E0CE" w14:textId="77777777" w:rsidR="00236874" w:rsidRDefault="00236874" w:rsidP="00236874">
      <w:pPr>
        <w:jc w:val="both"/>
        <w:rPr>
          <w:rFonts w:ascii="Arial" w:hAnsi="Arial" w:cs="Arial"/>
          <w:b/>
          <w:u w:val="single"/>
        </w:rPr>
      </w:pPr>
    </w:p>
    <w:p w14:paraId="1C2A438A" w14:textId="77777777" w:rsidR="00236874" w:rsidRPr="00662C15" w:rsidRDefault="00236874" w:rsidP="00236874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V zrekonštruovaných </w:t>
      </w:r>
      <w:r>
        <w:rPr>
          <w:rFonts w:ascii="Arial" w:hAnsi="Arial" w:cs="Arial"/>
        </w:rPr>
        <w:t xml:space="preserve">a rozšírených </w:t>
      </w:r>
      <w:r w:rsidRPr="00662C15">
        <w:rPr>
          <w:rFonts w:ascii="Arial" w:hAnsi="Arial" w:cs="Arial"/>
        </w:rPr>
        <w:t xml:space="preserve">priestoroch </w:t>
      </w:r>
      <w:r>
        <w:rPr>
          <w:rFonts w:ascii="Arial" w:hAnsi="Arial" w:cs="Arial"/>
        </w:rPr>
        <w:t>RTG pracoviska</w:t>
      </w:r>
      <w:r w:rsidRPr="00662C15">
        <w:rPr>
          <w:rFonts w:ascii="Arial" w:hAnsi="Arial" w:cs="Arial"/>
        </w:rPr>
        <w:t xml:space="preserve"> sa navrhuje vytvorenie rozvodov tienenej štruktúrovanej kabeláže kategórie Cat.6A v zmysle novej normy pre 10GB Ethernet. Tento kabelážny systém Cat.6A bude slúžiť pre potreby počítačovej siete, telefónnych rozvodov </w:t>
      </w:r>
      <w:r>
        <w:rPr>
          <w:rFonts w:ascii="Arial" w:hAnsi="Arial" w:cs="Arial"/>
        </w:rPr>
        <w:t xml:space="preserve">a ďalších slaboprúdových technológií </w:t>
      </w:r>
      <w:r w:rsidRPr="00662C15">
        <w:rPr>
          <w:rFonts w:ascii="Arial" w:hAnsi="Arial" w:cs="Arial"/>
        </w:rPr>
        <w:t>ako univerzálne nosné prenosové médium.</w:t>
      </w:r>
    </w:p>
    <w:p w14:paraId="1C6DB95C" w14:textId="77777777" w:rsidR="00236874" w:rsidRPr="00662C15" w:rsidRDefault="00236874" w:rsidP="00236874">
      <w:pPr>
        <w:jc w:val="both"/>
        <w:rPr>
          <w:rFonts w:ascii="Arial" w:hAnsi="Arial" w:cs="Arial"/>
        </w:rPr>
      </w:pPr>
    </w:p>
    <w:p w14:paraId="386CC90D" w14:textId="77777777" w:rsidR="00236874" w:rsidRPr="00662C15" w:rsidRDefault="00236874" w:rsidP="00236874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Požaduje sa dodržanie všetkých parametrov pre kabelážny systém Cat.6A v zmysle dodatku k norme ISO/IEC 11801, ktorý bol prijatý v roku 2017. </w:t>
      </w:r>
    </w:p>
    <w:p w14:paraId="4069CE44" w14:textId="77777777" w:rsidR="00236874" w:rsidRPr="00662C15" w:rsidRDefault="00236874" w:rsidP="00236874">
      <w:pPr>
        <w:ind w:firstLine="576"/>
        <w:jc w:val="both"/>
        <w:rPr>
          <w:rFonts w:ascii="Arial" w:hAnsi="Arial" w:cs="Arial"/>
        </w:rPr>
      </w:pPr>
    </w:p>
    <w:p w14:paraId="361AD8AD" w14:textId="77777777" w:rsidR="00236874" w:rsidRPr="00662C15" w:rsidRDefault="00236874" w:rsidP="00236874">
      <w:pPr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Kabeláž výkonnostnej kategórie Cat.6A bude možné zrealizovať dvoma spôsobmi a to:</w:t>
      </w:r>
    </w:p>
    <w:p w14:paraId="3EF733BF" w14:textId="77777777" w:rsidR="00236874" w:rsidRPr="00662C15" w:rsidRDefault="00236874" w:rsidP="00236874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 xml:space="preserve">- </w:t>
      </w:r>
      <w:r w:rsidRPr="00662C15">
        <w:rPr>
          <w:rFonts w:ascii="Arial" w:hAnsi="Arial" w:cs="Arial"/>
          <w:lang w:eastAsia="sk-SK"/>
        </w:rPr>
        <w:tab/>
        <w:t>inštalovaním uceleného systému Cat.6A,</w:t>
      </w:r>
    </w:p>
    <w:p w14:paraId="2C890A7E" w14:textId="77777777" w:rsidR="00236874" w:rsidRPr="00662C15" w:rsidRDefault="00236874" w:rsidP="00236874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-</w:t>
      </w:r>
      <w:r w:rsidRPr="00662C15">
        <w:rPr>
          <w:rFonts w:ascii="Arial" w:hAnsi="Arial" w:cs="Arial"/>
          <w:lang w:eastAsia="sk-SK"/>
        </w:rPr>
        <w:tab/>
        <w:t xml:space="preserve">inštalovaním </w:t>
      </w:r>
      <w:proofErr w:type="spellStart"/>
      <w:r w:rsidRPr="00662C15">
        <w:rPr>
          <w:rFonts w:ascii="Arial" w:hAnsi="Arial" w:cs="Arial"/>
          <w:lang w:eastAsia="sk-SK"/>
        </w:rPr>
        <w:t>interoperabilných</w:t>
      </w:r>
      <w:proofErr w:type="spellEnd"/>
      <w:r w:rsidRPr="00662C15">
        <w:rPr>
          <w:rFonts w:ascii="Arial" w:hAnsi="Arial" w:cs="Arial"/>
          <w:lang w:eastAsia="sk-SK"/>
        </w:rPr>
        <w:t xml:space="preserve"> komponentov Cat.6A</w:t>
      </w:r>
    </w:p>
    <w:p w14:paraId="20645107" w14:textId="77777777" w:rsidR="00236874" w:rsidRPr="00662C15" w:rsidRDefault="00236874" w:rsidP="00236874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ab/>
      </w:r>
    </w:p>
    <w:p w14:paraId="4385376F" w14:textId="77777777" w:rsidR="00236874" w:rsidRPr="00662C15" w:rsidRDefault="00236874" w:rsidP="00236874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  <w:lang w:eastAsia="sk-SK"/>
        </w:rPr>
        <w:t>Obe uvedené možnosti sú rovnocenné a obe majú oporu aj v medzinárodných normách pre výkonnostnú kategóriu kabelážneho systému Cat.6A.</w:t>
      </w:r>
      <w:r w:rsidRPr="00662C15">
        <w:rPr>
          <w:rFonts w:ascii="Arial" w:hAnsi="Arial" w:cs="Arial"/>
        </w:rPr>
        <w:t xml:space="preserve"> Požaduje sa dodanie certifikátov (certifikátu) pre systémové riešenie Cat.6A v rámci odovzdávania diela v nasledovnom zmysle:</w:t>
      </w:r>
      <w:r w:rsidRPr="00662C15">
        <w:rPr>
          <w:rFonts w:ascii="Arial" w:hAnsi="Arial" w:cs="Arial"/>
        </w:rPr>
        <w:tab/>
      </w:r>
    </w:p>
    <w:p w14:paraId="68AC7883" w14:textId="77777777" w:rsidR="00236874" w:rsidRPr="00662C15" w:rsidRDefault="00236874" w:rsidP="00236874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Výkonnostná kategória Cat.6A sa garantuje pre systémy a komponenty Cat.6A len v prípade, že systémy aj komponenty zodpovedajú normám, o ktorých bola zmienka vyššie. Súlad s normami však nemožno potvrdiť inak ako testami a meraniami, ktoré sa dajú realizovať len v špecializovaných skúšobných laboratóriách. Odlíšiť falzifikáty od skutočných systémov a komponentov Cat.6A je zákazník schopný len na základe certifikátov z týchto nezávislých skúšobných laboratórií. Preto je len samozrejmé, že ich zhotoviteľ bude striktne vyžadovať za účelom podrobnej dokumentácie pre odovzdávací proces investorovi. </w:t>
      </w:r>
    </w:p>
    <w:p w14:paraId="3B98159A" w14:textId="77777777" w:rsidR="00236874" w:rsidRPr="00662C15" w:rsidRDefault="00236874" w:rsidP="00236874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Pri systéme Cat.6A ide o jeden certifikát na celý prenosový kanál a pri komponentoch Cat.6A sa každý z nich certifikuje samostatne alebo prípadne v skupinách rovnakého produktového radu.</w:t>
      </w:r>
    </w:p>
    <w:p w14:paraId="7494AA1A" w14:textId="548190E2" w:rsidR="00236874" w:rsidRDefault="00236874" w:rsidP="00236874">
      <w:pPr>
        <w:jc w:val="both"/>
        <w:rPr>
          <w:rFonts w:ascii="Arial" w:hAnsi="Arial" w:cs="Arial"/>
          <w:b/>
          <w:u w:val="single"/>
        </w:rPr>
      </w:pPr>
      <w:r w:rsidRPr="00662C15">
        <w:rPr>
          <w:rFonts w:ascii="Arial" w:hAnsi="Arial" w:cs="Arial"/>
        </w:rPr>
        <w:tab/>
        <w:t xml:space="preserve">V predkladanom projekte sa navrhuje použitie kabelážneho systému </w:t>
      </w:r>
      <w:proofErr w:type="spellStart"/>
      <w:r w:rsidRPr="00662C15">
        <w:rPr>
          <w:rFonts w:ascii="Arial" w:hAnsi="Arial" w:cs="Arial"/>
          <w:b/>
        </w:rPr>
        <w:t>KE</w:t>
      </w:r>
      <w:r w:rsidRPr="00662C15">
        <w:rPr>
          <w:rFonts w:ascii="Arial" w:hAnsi="Arial" w:cs="Arial"/>
          <w:b/>
          <w:i/>
        </w:rPr>
        <w:t>Line</w:t>
      </w:r>
      <w:proofErr w:type="spellEnd"/>
      <w:r w:rsidRPr="00662C15">
        <w:rPr>
          <w:rFonts w:ascii="Arial" w:hAnsi="Arial" w:cs="Arial"/>
          <w:b/>
          <w:i/>
          <w:vertAlign w:val="superscript"/>
        </w:rPr>
        <w:t>®</w:t>
      </w:r>
      <w:r w:rsidRPr="00662C15">
        <w:rPr>
          <w:rFonts w:ascii="Arial" w:hAnsi="Arial" w:cs="Arial"/>
        </w:rPr>
        <w:t>, ktorý v plnej miere spĺňa všetky vyššie uvedené vlastnosti a požiadavky na prenosové parametre, čím sa zaručí najmä stabilita a funkčnosť systému po dobu minimálne 25 rokov (čo je garantovaná systémová záruka daná výrobcom)</w:t>
      </w:r>
      <w:r w:rsidRPr="00662C15">
        <w:rPr>
          <w:rFonts w:ascii="Arial" w:hAnsi="Arial" w:cs="Arial"/>
          <w:b/>
        </w:rPr>
        <w:t>.</w:t>
      </w:r>
    </w:p>
    <w:p w14:paraId="138DB0F4" w14:textId="77777777" w:rsidR="00236874" w:rsidRPr="00236874" w:rsidRDefault="00236874" w:rsidP="00236874">
      <w:pPr>
        <w:jc w:val="both"/>
        <w:rPr>
          <w:rFonts w:ascii="Arial" w:hAnsi="Arial" w:cs="Arial"/>
          <w:b/>
          <w:u w:val="single"/>
        </w:rPr>
      </w:pPr>
    </w:p>
    <w:p w14:paraId="7C12C98E" w14:textId="2AC502F0" w:rsidR="00F1487E" w:rsidRPr="00662C15" w:rsidRDefault="00236874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b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Popis riešenia štruktúrovanej počítačovej siete</w:t>
      </w:r>
      <w:r w:rsidR="00774AD3">
        <w:rPr>
          <w:rFonts w:ascii="Arial" w:hAnsi="Arial" w:cs="Arial"/>
          <w:b/>
          <w:u w:val="single"/>
        </w:rPr>
        <w:t xml:space="preserve"> </w:t>
      </w:r>
    </w:p>
    <w:p w14:paraId="77CB4EBC" w14:textId="77777777" w:rsidR="0069575D" w:rsidRPr="00662C15" w:rsidRDefault="0069575D" w:rsidP="006E04AE">
      <w:pPr>
        <w:jc w:val="both"/>
        <w:rPr>
          <w:rFonts w:ascii="Arial" w:hAnsi="Arial" w:cs="Arial"/>
          <w:b/>
          <w:u w:val="single"/>
        </w:rPr>
      </w:pPr>
    </w:p>
    <w:p w14:paraId="2390BC08" w14:textId="652941EB" w:rsidR="00236874" w:rsidRPr="00662C15" w:rsidRDefault="00236874" w:rsidP="00236874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Štruktúrovaná kabeláž je na základe hviezdicovej topológie siete navrhnutá ako sieť s jedným hlavným</w:t>
      </w:r>
      <w:r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centrálnym uzlom, z ktorého vychádzajú samostatné káblové vedenia ku všetkým pracovným staniciam, sieťovým zariadeniam a k podružným káblovým uzlom.</w:t>
      </w:r>
    </w:p>
    <w:p w14:paraId="17A70173" w14:textId="7F0E6C04" w:rsidR="00236874" w:rsidRDefault="00236874" w:rsidP="00236874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ab/>
      </w:r>
      <w:r w:rsidRPr="00662C15">
        <w:rPr>
          <w:rFonts w:ascii="Arial" w:hAnsi="Arial" w:cs="Arial"/>
        </w:rPr>
        <w:t>Na základe takéhoto členenia sa ako hlavný centrálny uzol štruktúrovanej siete p</w:t>
      </w:r>
      <w:r w:rsidRPr="00662C15">
        <w:rPr>
          <w:rFonts w:ascii="Arial" w:hAnsi="Arial" w:cs="Arial"/>
          <w:bCs/>
        </w:rPr>
        <w:t>re potreby novej štruktúrovanej kabeláže v zrekonštruovaných priestoroch</w:t>
      </w:r>
      <w:r>
        <w:rPr>
          <w:rFonts w:ascii="Arial" w:hAnsi="Arial" w:cs="Arial"/>
          <w:bCs/>
        </w:rPr>
        <w:t xml:space="preserve"> RTG pracoviska na 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.NP</w:t>
      </w:r>
      <w:r w:rsidRPr="00662C15">
        <w:rPr>
          <w:rFonts w:ascii="Arial" w:hAnsi="Arial" w:cs="Arial"/>
          <w:bCs/>
        </w:rPr>
        <w:t xml:space="preserve"> použije </w:t>
      </w:r>
      <w:r>
        <w:rPr>
          <w:rFonts w:ascii="Arial" w:hAnsi="Arial" w:cs="Arial"/>
          <w:bCs/>
        </w:rPr>
        <w:t xml:space="preserve">existujúci </w:t>
      </w:r>
      <w:r w:rsidRPr="00662C15">
        <w:rPr>
          <w:rFonts w:ascii="Arial" w:hAnsi="Arial" w:cs="Arial"/>
          <w:bCs/>
        </w:rPr>
        <w:t>dátový rozvádzač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RD3 umiestnený na 2.NP objektu priamo nad priestormi RTG</w:t>
      </w:r>
      <w:r w:rsidRPr="00662C15">
        <w:rPr>
          <w:rFonts w:ascii="Arial" w:hAnsi="Arial" w:cs="Arial"/>
          <w:bCs/>
        </w:rPr>
        <w:t>.</w:t>
      </w:r>
    </w:p>
    <w:p w14:paraId="7CEF669D" w14:textId="0873F9E9" w:rsidR="00236874" w:rsidRPr="00662C15" w:rsidRDefault="00236874" w:rsidP="00236874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>átový rozvádzač sa doplní pasívnymi ukončovacími prvkami – konkrétne dátový patch panel</w:t>
      </w:r>
      <w:r w:rsidRPr="00662C15">
        <w:rPr>
          <w:rFonts w:ascii="Arial" w:hAnsi="Arial" w:cs="Arial"/>
          <w:bCs/>
        </w:rPr>
        <w:t xml:space="preserve"> </w:t>
      </w:r>
      <w:proofErr w:type="spellStart"/>
      <w:r w:rsidRPr="00662C15">
        <w:rPr>
          <w:rFonts w:ascii="Arial" w:hAnsi="Arial" w:cs="Arial"/>
          <w:bCs/>
        </w:rPr>
        <w:t>KE</w:t>
      </w:r>
      <w:r>
        <w:rPr>
          <w:rFonts w:ascii="Arial" w:hAnsi="Arial" w:cs="Arial"/>
          <w:bCs/>
        </w:rPr>
        <w:t>Line</w:t>
      </w:r>
      <w:proofErr w:type="spellEnd"/>
      <w:r>
        <w:rPr>
          <w:rFonts w:ascii="Arial" w:hAnsi="Arial" w:cs="Arial"/>
          <w:bCs/>
        </w:rPr>
        <w:t xml:space="preserve"> 24xRJ45 Cat.6A, </w:t>
      </w:r>
      <w:r w:rsidRPr="00662C15">
        <w:rPr>
          <w:rFonts w:ascii="Arial" w:hAnsi="Arial" w:cs="Arial"/>
          <w:bCs/>
        </w:rPr>
        <w:t xml:space="preserve">v ktorých budú ukončené </w:t>
      </w:r>
      <w:r>
        <w:rPr>
          <w:rFonts w:ascii="Arial" w:hAnsi="Arial" w:cs="Arial"/>
          <w:bCs/>
        </w:rPr>
        <w:t xml:space="preserve">jednotlivé </w:t>
      </w:r>
      <w:r w:rsidRPr="00662C15">
        <w:rPr>
          <w:rFonts w:ascii="Arial" w:hAnsi="Arial" w:cs="Arial"/>
          <w:bCs/>
        </w:rPr>
        <w:t>káblové rozvody</w:t>
      </w:r>
      <w:r>
        <w:rPr>
          <w:rFonts w:ascii="Arial" w:hAnsi="Arial" w:cs="Arial"/>
          <w:bCs/>
        </w:rPr>
        <w:t xml:space="preserve"> štruktúrovanej kabeláže.</w:t>
      </w:r>
    </w:p>
    <w:p w14:paraId="0740A1CB" w14:textId="64472181" w:rsidR="00236874" w:rsidRPr="00662C15" w:rsidRDefault="00236874" w:rsidP="00236874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Z pasívnych ukončovacích prvkov budú</w:t>
      </w:r>
      <w:r w:rsidRPr="00662C15">
        <w:rPr>
          <w:rFonts w:ascii="Arial" w:hAnsi="Arial" w:cs="Arial"/>
          <w:bCs/>
        </w:rPr>
        <w:t xml:space="preserve"> patch káblami realizované prepojenia k jednotlivým zásuvkám </w:t>
      </w:r>
      <w:r>
        <w:rPr>
          <w:rFonts w:ascii="Arial" w:hAnsi="Arial" w:cs="Arial"/>
          <w:bCs/>
        </w:rPr>
        <w:t xml:space="preserve">a dátovým portom </w:t>
      </w:r>
      <w:r w:rsidRPr="00662C15">
        <w:rPr>
          <w:rFonts w:ascii="Arial" w:hAnsi="Arial" w:cs="Arial"/>
          <w:bCs/>
        </w:rPr>
        <w:t>cez aktívne prvky umiestnené v dátovom rozvádzači.</w:t>
      </w:r>
      <w:r w:rsidRPr="00662C15">
        <w:rPr>
          <w:rFonts w:ascii="Arial" w:hAnsi="Arial" w:cs="Arial"/>
        </w:rPr>
        <w:t xml:space="preserve"> </w:t>
      </w:r>
    </w:p>
    <w:p w14:paraId="558B9148" w14:textId="7A341342" w:rsidR="00236874" w:rsidRDefault="00236874" w:rsidP="00236874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lastRenderedPageBreak/>
        <w:tab/>
        <w:t xml:space="preserve">Hlavné káblové trasy sú riešené dátovým káblom </w:t>
      </w:r>
      <w:proofErr w:type="spellStart"/>
      <w:r w:rsidRPr="00662C15">
        <w:rPr>
          <w:rFonts w:ascii="Arial" w:hAnsi="Arial" w:cs="Arial"/>
        </w:rPr>
        <w:t>KELine</w:t>
      </w:r>
      <w:proofErr w:type="spellEnd"/>
      <w:r w:rsidRPr="00662C15">
        <w:rPr>
          <w:rFonts w:ascii="Arial" w:hAnsi="Arial" w:cs="Arial"/>
        </w:rPr>
        <w:t xml:space="preserve"> S-FTP (S/FTP) 4x2xAWG23 Cat.6A, LSOH bezhalogénový v prevedení s triedou reakcie na oheň B2ca s1d1a1. Ten bude </w:t>
      </w:r>
      <w:r>
        <w:rPr>
          <w:rFonts w:ascii="Arial" w:hAnsi="Arial" w:cs="Arial"/>
        </w:rPr>
        <w:t xml:space="preserve">vedený nad stropným SDK podhľadom na stropných káblových úchytoch. </w:t>
      </w:r>
      <w:r w:rsidRPr="00662C15">
        <w:rPr>
          <w:rFonts w:ascii="Arial" w:hAnsi="Arial" w:cs="Arial"/>
        </w:rPr>
        <w:t xml:space="preserve">Ku každej dátovej zásuvke sa </w:t>
      </w:r>
      <w:r>
        <w:rPr>
          <w:rFonts w:ascii="Arial" w:hAnsi="Arial" w:cs="Arial"/>
        </w:rPr>
        <w:t>privedie</w:t>
      </w:r>
      <w:r w:rsidRPr="00662C15">
        <w:rPr>
          <w:rFonts w:ascii="Arial" w:hAnsi="Arial" w:cs="Arial"/>
        </w:rPr>
        <w:t xml:space="preserve"> 2xS</w:t>
      </w:r>
      <w:r>
        <w:rPr>
          <w:rFonts w:ascii="Arial" w:hAnsi="Arial" w:cs="Arial"/>
        </w:rPr>
        <w:t>/F</w:t>
      </w:r>
      <w:r w:rsidRPr="00662C15">
        <w:rPr>
          <w:rFonts w:ascii="Arial" w:hAnsi="Arial" w:cs="Arial"/>
        </w:rPr>
        <w:t xml:space="preserve">TP Cat.6A kábel. Následne sa kábel zatiahne do </w:t>
      </w:r>
      <w:r>
        <w:rPr>
          <w:rFonts w:ascii="Arial" w:hAnsi="Arial" w:cs="Arial"/>
        </w:rPr>
        <w:t>PVC LSOH</w:t>
      </w:r>
      <w:r w:rsidRPr="00662C15">
        <w:rPr>
          <w:rFonts w:ascii="Arial" w:hAnsi="Arial" w:cs="Arial"/>
        </w:rPr>
        <w:t xml:space="preserve"> chráničky, ktorá bude v rámci pevných murovaných priečok uložená do pripravenej drážky až k miestu ukončenia v dátovej zásuvke. Dátové zásuvky </w:t>
      </w:r>
      <w:r>
        <w:rPr>
          <w:rFonts w:ascii="Arial" w:hAnsi="Arial" w:cs="Arial"/>
        </w:rPr>
        <w:t xml:space="preserve">ABB Reflex SI </w:t>
      </w:r>
      <w:r w:rsidRPr="00662C15">
        <w:rPr>
          <w:rFonts w:ascii="Arial" w:hAnsi="Arial" w:cs="Arial"/>
        </w:rPr>
        <w:t xml:space="preserve">2xRJ45/s, Cat.6A, sú montované na univerzálnu inštalačnú krabicu KU68. </w:t>
      </w:r>
      <w:r w:rsidR="003F2B0F">
        <w:rPr>
          <w:rFonts w:ascii="Arial" w:hAnsi="Arial" w:cs="Arial"/>
        </w:rPr>
        <w:t>Prechod kabeláže na 2.NP k dátovému rozvádzaču sa zrealizuje cez existujúci káblový prestup v strope.</w:t>
      </w:r>
    </w:p>
    <w:p w14:paraId="66515B42" w14:textId="77777777" w:rsidR="00236874" w:rsidRPr="0019691A" w:rsidRDefault="00236874" w:rsidP="00236874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9691A">
        <w:rPr>
          <w:rFonts w:ascii="Arial" w:hAnsi="Arial" w:cs="Arial"/>
        </w:rPr>
        <w:t xml:space="preserve">Káblové rozvody sa na strane zásuvky, ako aj na strane patch panelu ukončia modulom </w:t>
      </w:r>
      <w:proofErr w:type="spellStart"/>
      <w:r w:rsidRPr="0019691A">
        <w:rPr>
          <w:rFonts w:ascii="Arial" w:hAnsi="Arial" w:cs="Arial"/>
        </w:rPr>
        <w:t>KE</w:t>
      </w:r>
      <w:r w:rsidRPr="0019691A">
        <w:rPr>
          <w:rStyle w:val="Zvraznenie"/>
          <w:rFonts w:ascii="Arial" w:hAnsi="Arial" w:cs="Arial"/>
        </w:rPr>
        <w:t>Line</w:t>
      </w:r>
      <w:proofErr w:type="spellEnd"/>
      <w:r w:rsidRPr="0019691A">
        <w:rPr>
          <w:rStyle w:val="Zvraznenie"/>
          <w:rFonts w:ascii="Arial" w:hAnsi="Arial" w:cs="Arial"/>
        </w:rPr>
        <w:t> </w:t>
      </w:r>
      <w:proofErr w:type="spellStart"/>
      <w:r w:rsidRPr="0019691A">
        <w:rPr>
          <w:rFonts w:ascii="Arial" w:hAnsi="Arial" w:cs="Arial"/>
        </w:rPr>
        <w:t>keystone</w:t>
      </w:r>
      <w:proofErr w:type="spellEnd"/>
      <w:r w:rsidRPr="0019691A">
        <w:rPr>
          <w:rFonts w:ascii="Arial" w:hAnsi="Arial" w:cs="Arial"/>
        </w:rPr>
        <w:t xml:space="preserve"> modul </w:t>
      </w:r>
      <w:proofErr w:type="spellStart"/>
      <w:r w:rsidRPr="0019691A">
        <w:rPr>
          <w:rFonts w:ascii="Arial" w:hAnsi="Arial" w:cs="Arial"/>
        </w:rPr>
        <w:t>Cat</w:t>
      </w:r>
      <w:proofErr w:type="spellEnd"/>
      <w:r w:rsidRPr="0019691A">
        <w:rPr>
          <w:rFonts w:ascii="Arial" w:hAnsi="Arial" w:cs="Arial"/>
        </w:rPr>
        <w:t xml:space="preserve"> 6</w:t>
      </w:r>
      <w:r w:rsidRPr="0019691A">
        <w:rPr>
          <w:rFonts w:ascii="Arial" w:hAnsi="Arial" w:cs="Arial"/>
          <w:vertAlign w:val="subscript"/>
        </w:rPr>
        <w:t>A</w:t>
      </w:r>
      <w:r w:rsidRPr="0019691A">
        <w:rPr>
          <w:rFonts w:ascii="Arial" w:hAnsi="Arial" w:cs="Arial"/>
        </w:rPr>
        <w:t>, HD, RJ45/s.</w:t>
      </w:r>
    </w:p>
    <w:p w14:paraId="5A26E697" w14:textId="12F7C9DB" w:rsidR="00236874" w:rsidRPr="0019691A" w:rsidRDefault="00236874" w:rsidP="00236874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 xml:space="preserve">Presné umiestnenie zásuviek, káblové trasy, ako aj umiestnenie ďalších zariadení je zrejmé z výkresovej časti dokumentácie. Zásuvky budú inštalované vo výške </w:t>
      </w:r>
      <w:r w:rsidR="003F2B0F">
        <w:rPr>
          <w:rFonts w:ascii="Arial" w:hAnsi="Arial" w:cs="Arial"/>
        </w:rPr>
        <w:t>3</w:t>
      </w:r>
      <w:r w:rsidRPr="0019691A">
        <w:rPr>
          <w:rFonts w:ascii="Arial" w:hAnsi="Arial" w:cs="Arial"/>
        </w:rPr>
        <w:t>00mm od podlahy, pokiaľ nie je v projekte uvedené inak</w:t>
      </w:r>
      <w:r>
        <w:rPr>
          <w:rFonts w:ascii="Arial" w:hAnsi="Arial" w:cs="Arial"/>
        </w:rPr>
        <w:t>.</w:t>
      </w:r>
      <w:r w:rsidRPr="00196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Číslovanie zásuviek a ich napojenie na aktívne zariadenia zrealizovať v koordinácii so zástupcami IT oddelenia </w:t>
      </w:r>
      <w:r w:rsidR="003F2B0F">
        <w:rPr>
          <w:rFonts w:ascii="Arial" w:hAnsi="Arial" w:cs="Arial"/>
        </w:rPr>
        <w:t>UN Martin</w:t>
      </w:r>
      <w:r>
        <w:rPr>
          <w:rFonts w:ascii="Arial" w:hAnsi="Arial" w:cs="Arial"/>
        </w:rPr>
        <w:t xml:space="preserve">. </w:t>
      </w:r>
    </w:p>
    <w:p w14:paraId="570EF45C" w14:textId="082A62BA" w:rsidR="00236874" w:rsidRPr="00662C15" w:rsidRDefault="00236874" w:rsidP="00236874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</w:r>
    </w:p>
    <w:p w14:paraId="1353F5FB" w14:textId="73C1496E" w:rsidR="00A378C7" w:rsidRPr="00662C15" w:rsidRDefault="00236874" w:rsidP="00236874">
      <w:pPr>
        <w:tabs>
          <w:tab w:val="left" w:pos="426"/>
        </w:tabs>
        <w:jc w:val="both"/>
        <w:rPr>
          <w:rFonts w:ascii="Arial" w:hAnsi="Arial" w:cs="Arial"/>
          <w:kern w:val="1"/>
        </w:rPr>
      </w:pPr>
      <w:r w:rsidRPr="00662C15">
        <w:rPr>
          <w:rFonts w:ascii="Arial" w:hAnsi="Arial" w:cs="Arial"/>
          <w:b/>
          <w:bCs/>
        </w:rPr>
        <w:t>Po ukončení prác previesť značenie káblov, zásuviek a ostatných komponentov.</w:t>
      </w:r>
    </w:p>
    <w:p w14:paraId="655BD76F" w14:textId="77777777" w:rsidR="005B04AE" w:rsidRPr="00774AD3" w:rsidRDefault="005B04AE" w:rsidP="00774AD3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5E5E30C" w14:textId="0A59BBB7" w:rsidR="00DB251C" w:rsidRDefault="00DD259A" w:rsidP="007C498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Komunikačný dorozumievací systém</w:t>
      </w:r>
    </w:p>
    <w:p w14:paraId="2F8302F8" w14:textId="6BD065A4" w:rsidR="00DD259A" w:rsidRDefault="00DD259A" w:rsidP="00DD259A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45318909" w14:textId="5D173BFA" w:rsidR="00FF3432" w:rsidRDefault="00DD259A" w:rsidP="00021923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ab/>
        <w:t xml:space="preserve">Pre potreby zabezpečenia komunikácie medzi obsluhou RTG prístroja a pacientom v miestnosti RTG </w:t>
      </w:r>
      <w:r w:rsidR="005C73BC">
        <w:rPr>
          <w:rFonts w:ascii="Arial" w:hAnsi="Arial" w:cs="Arial"/>
        </w:rPr>
        <w:t xml:space="preserve">na základe vyhlášky č. 101/2018 </w:t>
      </w:r>
      <w:r w:rsidR="003F2B0F">
        <w:rPr>
          <w:rFonts w:ascii="Arial" w:hAnsi="Arial" w:cs="Arial"/>
        </w:rPr>
        <w:t xml:space="preserve">sa </w:t>
      </w:r>
      <w:r w:rsidR="005C73BC">
        <w:rPr>
          <w:rFonts w:ascii="Arial" w:hAnsi="Arial" w:cs="Arial"/>
        </w:rPr>
        <w:t xml:space="preserve">požaduje </w:t>
      </w:r>
      <w:r>
        <w:rPr>
          <w:rFonts w:ascii="Arial" w:hAnsi="Arial" w:cs="Arial"/>
        </w:rPr>
        <w:t>inštaláci</w:t>
      </w:r>
      <w:r w:rsidR="005C73B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komunikačného dorozumievacieho zariadenia</w:t>
      </w:r>
      <w:r w:rsidR="005C73BC">
        <w:rPr>
          <w:rFonts w:ascii="Arial" w:hAnsi="Arial" w:cs="Arial"/>
        </w:rPr>
        <w:t xml:space="preserve"> v RTG vyšetrovni</w:t>
      </w:r>
      <w:r>
        <w:rPr>
          <w:rFonts w:ascii="Arial" w:hAnsi="Arial" w:cs="Arial"/>
        </w:rPr>
        <w:t>.</w:t>
      </w:r>
      <w:r w:rsidR="005C73BC">
        <w:rPr>
          <w:rFonts w:ascii="Arial" w:hAnsi="Arial" w:cs="Arial"/>
        </w:rPr>
        <w:t xml:space="preserve"> Navrhnuté je komunikačné zariadenie MMP205B. </w:t>
      </w:r>
      <w:r>
        <w:rPr>
          <w:rFonts w:ascii="Arial" w:hAnsi="Arial" w:cs="Arial"/>
        </w:rPr>
        <w:t>Riadiaca a komunikačná jednotka personálu sa umiestni na stôl v miestnosti č.</w:t>
      </w:r>
      <w:r w:rsidR="005C73BC">
        <w:rPr>
          <w:rFonts w:ascii="Arial" w:hAnsi="Arial" w:cs="Arial"/>
        </w:rPr>
        <w:t>1</w:t>
      </w:r>
      <w:r w:rsidR="003F2B0F">
        <w:rPr>
          <w:rFonts w:ascii="Arial" w:hAnsi="Arial" w:cs="Arial"/>
        </w:rPr>
        <w:t>03</w:t>
      </w:r>
      <w:r>
        <w:rPr>
          <w:rFonts w:ascii="Arial" w:hAnsi="Arial" w:cs="Arial"/>
        </w:rPr>
        <w:t xml:space="preserve"> – ovládač, podružná komunikačná jednotka pre pacienta sa umiestni na </w:t>
      </w:r>
      <w:r w:rsidR="005C73BC">
        <w:rPr>
          <w:rFonts w:ascii="Arial" w:hAnsi="Arial" w:cs="Arial"/>
        </w:rPr>
        <w:t xml:space="preserve">stropný </w:t>
      </w:r>
      <w:r>
        <w:rPr>
          <w:rFonts w:ascii="Arial" w:hAnsi="Arial" w:cs="Arial"/>
        </w:rPr>
        <w:t xml:space="preserve">podhľad nad RTG prístrojom. Presné miesto </w:t>
      </w:r>
      <w:r w:rsidR="005C73BC">
        <w:rPr>
          <w:rFonts w:ascii="Arial" w:hAnsi="Arial" w:cs="Arial"/>
        </w:rPr>
        <w:t xml:space="preserve">potvrdí zástupca dodávateľa </w:t>
      </w:r>
      <w:r>
        <w:rPr>
          <w:rFonts w:ascii="Arial" w:hAnsi="Arial" w:cs="Arial"/>
        </w:rPr>
        <w:t xml:space="preserve">technológie pri samotnej realizácii. Prepojovací kábel </w:t>
      </w:r>
      <w:r w:rsidR="00254472">
        <w:rPr>
          <w:rFonts w:ascii="Arial" w:hAnsi="Arial" w:cs="Arial"/>
        </w:rPr>
        <w:t>(navrhnut</w:t>
      </w:r>
      <w:r w:rsidR="00691B9B">
        <w:rPr>
          <w:rFonts w:ascii="Arial" w:hAnsi="Arial" w:cs="Arial"/>
        </w:rPr>
        <w:t>ý</w:t>
      </w:r>
      <w:r w:rsidR="00254472">
        <w:rPr>
          <w:rFonts w:ascii="Arial" w:hAnsi="Arial" w:cs="Arial"/>
        </w:rPr>
        <w:t xml:space="preserve"> je </w:t>
      </w:r>
      <w:r w:rsidR="003F2B0F">
        <w:rPr>
          <w:rFonts w:ascii="Arial" w:hAnsi="Arial" w:cs="Arial"/>
        </w:rPr>
        <w:t>audio kábel 2x0,75</w:t>
      </w:r>
      <w:r w:rsidR="00254472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bude vedený nad podhľadom na stropných káblových úchytoch</w:t>
      </w:r>
      <w:r w:rsidR="005C73BC">
        <w:rPr>
          <w:rFonts w:ascii="Arial" w:hAnsi="Arial" w:cs="Arial"/>
        </w:rPr>
        <w:t xml:space="preserve">, v miestnosti ovládača bude vedený </w:t>
      </w:r>
      <w:proofErr w:type="spellStart"/>
      <w:r w:rsidR="005C73BC">
        <w:rPr>
          <w:rFonts w:ascii="Arial" w:hAnsi="Arial" w:cs="Arial"/>
        </w:rPr>
        <w:t>podomietkovo</w:t>
      </w:r>
      <w:proofErr w:type="spellEnd"/>
      <w:r w:rsidR="005C73BC">
        <w:rPr>
          <w:rFonts w:ascii="Arial" w:hAnsi="Arial" w:cs="Arial"/>
        </w:rPr>
        <w:t xml:space="preserve"> v PVC rúrke, prípadne </w:t>
      </w:r>
      <w:proofErr w:type="spellStart"/>
      <w:r w:rsidR="005C73BC">
        <w:rPr>
          <w:rFonts w:ascii="Arial" w:hAnsi="Arial" w:cs="Arial"/>
        </w:rPr>
        <w:t>nadomietkovo</w:t>
      </w:r>
      <w:proofErr w:type="spellEnd"/>
      <w:r w:rsidR="005C73BC">
        <w:rPr>
          <w:rFonts w:ascii="Arial" w:hAnsi="Arial" w:cs="Arial"/>
        </w:rPr>
        <w:t xml:space="preserve"> v PVC lište</w:t>
      </w:r>
      <w:r>
        <w:rPr>
          <w:rFonts w:ascii="Arial" w:hAnsi="Arial" w:cs="Arial"/>
        </w:rPr>
        <w:t>.</w:t>
      </w:r>
      <w:r w:rsidR="00DB251C">
        <w:rPr>
          <w:rFonts w:ascii="Arial" w:hAnsi="Arial" w:cs="Arial"/>
          <w:bCs/>
        </w:rPr>
        <w:tab/>
      </w:r>
    </w:p>
    <w:p w14:paraId="69D0C4D6" w14:textId="77777777" w:rsidR="006C3F34" w:rsidRDefault="006C3F34" w:rsidP="006C3F34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5CD7CDC5" w14:textId="7F547D99" w:rsidR="006C3F34" w:rsidRDefault="003F2B0F" w:rsidP="006C3F3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Kamerový dohľadový systém</w:t>
      </w:r>
    </w:p>
    <w:p w14:paraId="1A44D67C" w14:textId="77777777" w:rsidR="003F2B0F" w:rsidRDefault="003F2B0F" w:rsidP="003F2B0F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AD7241C" w14:textId="1A9F4466" w:rsidR="003F2B0F" w:rsidRPr="00662C15" w:rsidRDefault="003F2B0F" w:rsidP="003F2B0F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62C15">
        <w:rPr>
          <w:rFonts w:ascii="Arial" w:hAnsi="Arial" w:cs="Arial"/>
        </w:rPr>
        <w:t xml:space="preserve">Na základe požiadavky investora zabezpečiť vizuálnu kontrolu </w:t>
      </w:r>
      <w:r>
        <w:rPr>
          <w:rFonts w:ascii="Arial" w:hAnsi="Arial" w:cs="Arial"/>
        </w:rPr>
        <w:t xml:space="preserve">stavu pacientov </w:t>
      </w:r>
      <w:r>
        <w:rPr>
          <w:rFonts w:ascii="Arial" w:hAnsi="Arial" w:cs="Arial"/>
        </w:rPr>
        <w:t>počas vyšetrenia</w:t>
      </w:r>
      <w:r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e v miestnosti RTG prístroja</w:t>
      </w:r>
      <w:r>
        <w:rPr>
          <w:rFonts w:ascii="Arial" w:hAnsi="Arial" w:cs="Arial"/>
        </w:rPr>
        <w:t xml:space="preserve"> inštalovan</w:t>
      </w:r>
      <w:r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kamer</w:t>
      </w:r>
      <w:r>
        <w:rPr>
          <w:rFonts w:ascii="Arial" w:hAnsi="Arial" w:cs="Arial"/>
        </w:rPr>
        <w:t>a</w:t>
      </w:r>
      <w:r w:rsidRPr="00662C15">
        <w:rPr>
          <w:rFonts w:ascii="Arial" w:hAnsi="Arial" w:cs="Arial"/>
        </w:rPr>
        <w:t xml:space="preserve"> CCTV</w:t>
      </w:r>
      <w:r>
        <w:rPr>
          <w:rFonts w:ascii="Arial" w:hAnsi="Arial" w:cs="Arial"/>
        </w:rPr>
        <w:t xml:space="preserve">. Táto bude napojená priamo na NVR zariadenie s monitorom pre sledovanie obrazu personálom v miestnosti ovládača. </w:t>
      </w:r>
      <w:r>
        <w:rPr>
          <w:rFonts w:ascii="Arial" w:hAnsi="Arial" w:cs="Arial"/>
          <w:bCs/>
        </w:rPr>
        <w:t xml:space="preserve">Záznam bude prenášaný naživo a nebude nahrávaný. Obrazový záznam slúži len pre potreby personálu oddelenia </w:t>
      </w:r>
      <w:r>
        <w:rPr>
          <w:rFonts w:ascii="Arial" w:hAnsi="Arial" w:cs="Arial"/>
          <w:bCs/>
        </w:rPr>
        <w:t>RTG</w:t>
      </w:r>
      <w:r>
        <w:rPr>
          <w:rFonts w:ascii="Arial" w:hAnsi="Arial" w:cs="Arial"/>
          <w:bCs/>
        </w:rPr>
        <w:t xml:space="preserve"> pre kontrolu stavu pacientov. V prípade potreby a požiadavky nahrávania záznamu zo strany investora je možné doplnenie HDD do </w:t>
      </w:r>
      <w:proofErr w:type="spellStart"/>
      <w:r>
        <w:rPr>
          <w:rFonts w:ascii="Arial" w:hAnsi="Arial" w:cs="Arial"/>
          <w:bCs/>
        </w:rPr>
        <w:t>videozariadenia</w:t>
      </w:r>
      <w:proofErr w:type="spellEnd"/>
      <w:r>
        <w:rPr>
          <w:rFonts w:ascii="Arial" w:hAnsi="Arial" w:cs="Arial"/>
          <w:bCs/>
        </w:rPr>
        <w:t xml:space="preserve"> a nastavenie záznamu obrazového výstupu z kamery. </w:t>
      </w:r>
      <w:r w:rsidRPr="00662C15">
        <w:rPr>
          <w:rFonts w:ascii="Arial" w:hAnsi="Arial" w:cs="Arial"/>
        </w:rPr>
        <w:t xml:space="preserve">Presné umiestnenie </w:t>
      </w:r>
      <w:r>
        <w:rPr>
          <w:rFonts w:ascii="Arial" w:hAnsi="Arial" w:cs="Arial"/>
        </w:rPr>
        <w:t>kam</w:t>
      </w:r>
      <w:r>
        <w:rPr>
          <w:rFonts w:ascii="Arial" w:hAnsi="Arial" w:cs="Arial"/>
        </w:rPr>
        <w:t>ery</w:t>
      </w:r>
      <w:r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je zrejmé z výkresovej časti dokumentácie.</w:t>
      </w:r>
    </w:p>
    <w:p w14:paraId="5BE38203" w14:textId="280486F2" w:rsidR="003F2B0F" w:rsidRPr="003F2B0F" w:rsidRDefault="003F2B0F" w:rsidP="003F2B0F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</w:rPr>
        <w:tab/>
      </w:r>
      <w:r>
        <w:rPr>
          <w:rFonts w:ascii="Arial" w:hAnsi="Arial" w:cs="Arial"/>
        </w:rPr>
        <w:t>Navrhovan</w:t>
      </w:r>
      <w:r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kamer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sa namontuj</w:t>
      </w:r>
      <w:r w:rsidR="00EB277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stenu cca 20-30 cm pod stropný</w:t>
      </w:r>
      <w:r>
        <w:rPr>
          <w:rFonts w:ascii="Arial" w:hAnsi="Arial" w:cs="Arial"/>
        </w:rPr>
        <w:t xml:space="preserve"> podhľad pomocou držiaku kamery</w:t>
      </w:r>
      <w:r w:rsidRPr="00662C15">
        <w:rPr>
          <w:rFonts w:ascii="Arial" w:hAnsi="Arial" w:cs="Arial"/>
        </w:rPr>
        <w:t xml:space="preserve">. Ku kamere bude dotiahnutý kábel </w:t>
      </w:r>
      <w:r>
        <w:rPr>
          <w:rFonts w:ascii="Arial" w:hAnsi="Arial" w:cs="Arial"/>
        </w:rPr>
        <w:t>1</w:t>
      </w:r>
      <w:r w:rsidRPr="00662C15">
        <w:rPr>
          <w:rFonts w:ascii="Arial" w:hAnsi="Arial" w:cs="Arial"/>
        </w:rPr>
        <w:t xml:space="preserve"> x </w:t>
      </w:r>
      <w:proofErr w:type="spellStart"/>
      <w:r w:rsidRPr="00662C15">
        <w:rPr>
          <w:rFonts w:ascii="Arial" w:hAnsi="Arial" w:cs="Arial"/>
        </w:rPr>
        <w:t>KELine</w:t>
      </w:r>
      <w:proofErr w:type="spellEnd"/>
      <w:r w:rsidRPr="00662C15">
        <w:rPr>
          <w:rFonts w:ascii="Arial" w:hAnsi="Arial" w:cs="Arial"/>
        </w:rPr>
        <w:t xml:space="preserve"> S-FTP (S/FTP) 4x2xAWG23 Cat.6A, LSOH bezhalogénový</w:t>
      </w:r>
      <w:r>
        <w:rPr>
          <w:rFonts w:ascii="Arial" w:hAnsi="Arial" w:cs="Arial"/>
        </w:rPr>
        <w:t xml:space="preserve"> ukončený konektorom RJ45</w:t>
      </w:r>
      <w:r w:rsidRPr="00662C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1xRJ45 Cat.6A.</w:t>
      </w:r>
      <w:r w:rsidRPr="00662C15">
        <w:rPr>
          <w:rFonts w:ascii="Arial" w:hAnsi="Arial" w:cs="Arial"/>
        </w:rPr>
        <w:t xml:space="preserve"> Táto</w:t>
      </w:r>
      <w:r>
        <w:rPr>
          <w:rFonts w:ascii="Arial" w:hAnsi="Arial" w:cs="Arial"/>
        </w:rPr>
        <w:t xml:space="preserve"> kabeláž bude vedená </w:t>
      </w:r>
      <w:r>
        <w:rPr>
          <w:rFonts w:ascii="Arial" w:hAnsi="Arial" w:cs="Arial"/>
        </w:rPr>
        <w:t xml:space="preserve">do miestnosti ovládača a ukončená taktiež konektorom RJ45 </w:t>
      </w:r>
      <w:r>
        <w:rPr>
          <w:rFonts w:ascii="Arial" w:hAnsi="Arial" w:cs="Arial"/>
        </w:rPr>
        <w:t xml:space="preserve">priamo v nahrávači NVR, ktorý bude hlavným bodom kamerového systému. </w:t>
      </w:r>
      <w:r>
        <w:rPr>
          <w:rFonts w:ascii="Arial" w:hAnsi="Arial" w:cs="Arial"/>
          <w:bCs/>
        </w:rPr>
        <w:t>Tu bude prenášaný obrazový výstup z</w:t>
      </w:r>
      <w:r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kam</w:t>
      </w:r>
      <w:r>
        <w:rPr>
          <w:rFonts w:ascii="Arial" w:hAnsi="Arial" w:cs="Arial"/>
          <w:bCs/>
        </w:rPr>
        <w:t xml:space="preserve">ery cez pripojený 19“ monitor. </w:t>
      </w:r>
      <w:r>
        <w:rPr>
          <w:rFonts w:ascii="Arial" w:hAnsi="Arial" w:cs="Arial"/>
          <w:bCs/>
        </w:rPr>
        <w:t>Navrhnuté je sieťové nahrávacie zariadenie s </w:t>
      </w:r>
      <w:proofErr w:type="spellStart"/>
      <w:r>
        <w:rPr>
          <w:rFonts w:ascii="Arial" w:hAnsi="Arial" w:cs="Arial"/>
          <w:bCs/>
        </w:rPr>
        <w:t>PoE</w:t>
      </w:r>
      <w:proofErr w:type="spellEnd"/>
      <w:r>
        <w:rPr>
          <w:rFonts w:ascii="Arial" w:hAnsi="Arial" w:cs="Arial"/>
          <w:bCs/>
        </w:rPr>
        <w:t xml:space="preserve"> napájaním, takže napájanie kamier je realizované priamo cez privedený dátový kábel a nie je potrebné napájanie cez externý napájací zdroj. Kamer</w:t>
      </w:r>
      <w:r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bud</w:t>
      </w:r>
      <w:r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v prevedení IP – dátový prenos výstupu z kamery po dátovom kábli, s minimálnym rozlíšením 2MPx, s IR prisvietením pre lepšiu kvalitu záznamu v zhoršených svetelných podmienkach. </w:t>
      </w:r>
      <w:r w:rsidRPr="00662C15">
        <w:rPr>
          <w:rFonts w:ascii="Arial" w:hAnsi="Arial" w:cs="Arial"/>
        </w:rPr>
        <w:t xml:space="preserve">Nastavenie a konfiguráciu kamier je potrebné konzultovať a koordinovať so zástupcami IT oddelenia </w:t>
      </w:r>
      <w:r>
        <w:rPr>
          <w:rFonts w:ascii="Arial" w:hAnsi="Arial" w:cs="Arial"/>
        </w:rPr>
        <w:t>UN Martin</w:t>
      </w:r>
      <w:r w:rsidRPr="00662C15">
        <w:rPr>
          <w:rFonts w:ascii="Arial" w:hAnsi="Arial" w:cs="Arial"/>
        </w:rPr>
        <w:t>.</w:t>
      </w:r>
    </w:p>
    <w:p w14:paraId="59C47BDD" w14:textId="77777777" w:rsidR="003F2B0F" w:rsidRPr="003F2B0F" w:rsidRDefault="003F2B0F" w:rsidP="003F2B0F">
      <w:pPr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0C868B8D" w14:textId="09EA208F" w:rsidR="003F2B0F" w:rsidRDefault="003F2B0F" w:rsidP="006C3F3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Certifikácia prenosových trás a komplexné skúšky</w:t>
      </w:r>
    </w:p>
    <w:p w14:paraId="335EDD38" w14:textId="3C945573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24B30A62" w14:textId="4BAA4B12" w:rsidR="005B04AE" w:rsidRPr="00662C15" w:rsidRDefault="005B04AE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Po ukončení inštalácie rozvodov bude vykonané meranie všetkých káblových trás certifikovaným (s platným certifikátom o kalibrácii) meracím prístrojom, o čom bude pre každú trasu vyhotovený merací protokol definujúci fyzikálne a prenosové parametre danej trasy. Parametre je nutné merať s meracím prístrojom správne kalibrovaným na príslušné meranie na predmetný spoj.</w:t>
      </w:r>
    </w:p>
    <w:p w14:paraId="04266404" w14:textId="4993720A" w:rsidR="0002622B" w:rsidRDefault="00FC1400" w:rsidP="00666FB5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Správna funkcia namontovaného slaboprúdového zariadenia bude overená komplexnou skúškou a to v rozsahu prevedených montáží a podľa druhu zariadenia. Pri komplexných skúškach bude preverená správnosť pripojenia všetkých káblov a správna funkcia jednotlivých zariadení, zvlášť ústrední slaboprúdových zariadení, slaboprúdových rozvádzačov, súvisiacich zariadení. Pri komplexných skúškach bude overená funkčnosť prepojenia jednotlivých slaboprúdových systémov, ale aj funkčnosť prepojenia s inými systémami (silnoprúd a</w:t>
      </w:r>
      <w:r w:rsidRPr="00662C15">
        <w:rPr>
          <w:rFonts w:ascii="Arial" w:hAnsi="Arial" w:cs="Arial"/>
          <w:spacing w:val="-2"/>
        </w:rPr>
        <w:t xml:space="preserve"> </w:t>
      </w:r>
      <w:r w:rsidRPr="00662C15">
        <w:rPr>
          <w:rFonts w:ascii="Arial" w:hAnsi="Arial" w:cs="Arial"/>
        </w:rPr>
        <w:t>pod.)</w:t>
      </w:r>
    </w:p>
    <w:p w14:paraId="27D92B2F" w14:textId="77777777" w:rsidR="00666FB5" w:rsidRPr="00662C15" w:rsidRDefault="00666FB5" w:rsidP="00666FB5">
      <w:pPr>
        <w:pStyle w:val="Zkladntext"/>
        <w:spacing w:after="0"/>
        <w:ind w:right="229" w:firstLine="360"/>
        <w:jc w:val="both"/>
        <w:rPr>
          <w:rFonts w:ascii="Arial" w:hAnsi="Arial" w:cs="Arial"/>
          <w:b/>
          <w:bCs/>
          <w:u w:val="single"/>
        </w:rPr>
      </w:pPr>
    </w:p>
    <w:p w14:paraId="07C41E32" w14:textId="74D14053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lastRenderedPageBreak/>
        <w:t>EMC</w:t>
      </w:r>
    </w:p>
    <w:p w14:paraId="2EEDBFF2" w14:textId="77777777" w:rsidR="005B04AE" w:rsidRPr="00662C15" w:rsidRDefault="005B04AE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332D7E82" w14:textId="1401F0FC" w:rsidR="005B302A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Všetky dátové rozvádzače budú uzemnené technologickou zemou v príslušných NN rozvádzačoch. Kabeláž bude tienená s krútenými pármi (</w:t>
      </w:r>
      <w:proofErr w:type="spellStart"/>
      <w:r w:rsidRPr="00662C15">
        <w:rPr>
          <w:rFonts w:ascii="Arial" w:hAnsi="Arial" w:cs="Arial"/>
        </w:rPr>
        <w:t>twistovaná</w:t>
      </w:r>
      <w:proofErr w:type="spellEnd"/>
      <w:r w:rsidRPr="00662C15">
        <w:rPr>
          <w:rFonts w:ascii="Arial" w:hAnsi="Arial" w:cs="Arial"/>
        </w:rPr>
        <w:t xml:space="preserve">). Trasy rozvodov budú vedené s trasami silnoprúdu v dovolených súbehoch v zmysle platných STN noriem. Káblové vedenia musia byť vzdialené 1m od výťahov, priemysel- </w:t>
      </w:r>
      <w:proofErr w:type="spellStart"/>
      <w:r w:rsidRPr="00662C15">
        <w:rPr>
          <w:rFonts w:ascii="Arial" w:hAnsi="Arial" w:cs="Arial"/>
        </w:rPr>
        <w:t>ných</w:t>
      </w:r>
      <w:proofErr w:type="spellEnd"/>
      <w:r w:rsidRPr="00662C15">
        <w:rPr>
          <w:rFonts w:ascii="Arial" w:hAnsi="Arial" w:cs="Arial"/>
        </w:rPr>
        <w:t xml:space="preserve"> alebo medicínskych prístrojov a najmenej 50 cm od žiariviek.</w:t>
      </w:r>
    </w:p>
    <w:p w14:paraId="497DE973" w14:textId="77777777" w:rsidR="00691B9B" w:rsidRPr="00662C15" w:rsidRDefault="00691B9B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298574AA" w14:textId="31EBE020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Požiadavky na montážnu organizáciu</w:t>
      </w:r>
    </w:p>
    <w:p w14:paraId="4102034B" w14:textId="62EF7C63" w:rsidR="005B04AE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87A5CAF" w14:textId="46F6BBAC" w:rsidR="00992BE3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 xml:space="preserve">Montáž systému štruktúrovanej kabeláže môže vykonať iba montážna organizácia oprávnená na túto činnosť. Pred uvedením zariadenia do skúšobnej prevádzky musí byť na zariadení vykonaná východzia revízia podľa súvisiacich noriem a predpisov. Montážna organizácia je povinná odovzdať užívateľovi ako súčasť zariadenia merací protokol, správu o </w:t>
      </w:r>
      <w:proofErr w:type="spellStart"/>
      <w:r w:rsidRPr="00662C15">
        <w:rPr>
          <w:rFonts w:ascii="Arial" w:hAnsi="Arial" w:cs="Arial"/>
        </w:rPr>
        <w:t>východzej</w:t>
      </w:r>
      <w:proofErr w:type="spellEnd"/>
      <w:r w:rsidRPr="00662C15">
        <w:rPr>
          <w:rFonts w:ascii="Arial" w:hAnsi="Arial" w:cs="Arial"/>
        </w:rPr>
        <w:t xml:space="preserve"> odbornej skúške, poučiť osoby poverené obsluhou a osoby poverené údržbou zariadenia o spôsobe obsluhy a bežnej údržbe.</w:t>
      </w:r>
      <w:r w:rsidR="00A27ABC" w:rsidRPr="00662C15">
        <w:rPr>
          <w:rFonts w:ascii="Arial" w:hAnsi="Arial" w:cs="Arial"/>
          <w:b/>
          <w:bCs/>
        </w:rPr>
        <w:tab/>
      </w:r>
    </w:p>
    <w:p w14:paraId="09429718" w14:textId="77777777" w:rsidR="00523AD5" w:rsidRPr="00662C15" w:rsidRDefault="00523AD5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5AAB2E63" w14:textId="326E7343" w:rsidR="000A16FA" w:rsidRPr="003B74E6" w:rsidRDefault="00FC140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Bezpečnostné opatrenia</w:t>
      </w:r>
    </w:p>
    <w:p w14:paraId="741F6E6B" w14:textId="77777777" w:rsidR="000A16FA" w:rsidRPr="00662C15" w:rsidRDefault="000A16FA" w:rsidP="006E04AE">
      <w:pPr>
        <w:jc w:val="both"/>
        <w:rPr>
          <w:rFonts w:ascii="Arial" w:hAnsi="Arial" w:cs="Arial"/>
          <w:b/>
          <w:bCs/>
        </w:rPr>
      </w:pPr>
    </w:p>
    <w:p w14:paraId="74DBF2A2" w14:textId="369B71E3" w:rsidR="001C7A48" w:rsidRPr="00662C15" w:rsidRDefault="001C7A48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Pri montážnych prácach je potrebné dodržať platné STN IEC 61140, STN 33 2010, STN 33 2000-1; STN 33 2000-4.41; STN 33 2000-5.54, STN 33 0110 a nimi súvisiace ako aj stavebné a bezpečnostné predpisy.</w:t>
      </w:r>
    </w:p>
    <w:p w14:paraId="34F8231E" w14:textId="130E1490" w:rsidR="001C7A48" w:rsidRDefault="00FC1400" w:rsidP="00885878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Prestupy káblov cez požiarno-deliace konštrukcie budú utesnené s požiarnymi upchávkami s rovnakou požiarnou odolnosťou, aká je požadovaná pre požiarno-deliacu konštrukciu podľa projektu PO, najviac však 90 minút. Tieto prestupy musia byť zrealizované aj v zmysle § 12 Vyhl. MV SR č.79/2004. Rozvody nesmú byť voľne vedené v chránenej únikovej ceste. V prípade, že budú dané rozvody vedené v chránenej únikovej ceste, musia byť od CHÚC oddelené konštrukčnými prvkami druhu D1 a s požiarnou odolnosťou zodpovedajúcou dvojnásobnej hodnote predpokladaného času evakuácie osôb, najmenej však 30 minút.</w:t>
      </w:r>
    </w:p>
    <w:p w14:paraId="489EDB50" w14:textId="77777777" w:rsidR="00234645" w:rsidRPr="00662C15" w:rsidRDefault="00234645" w:rsidP="00885878">
      <w:pPr>
        <w:ind w:firstLine="360"/>
        <w:jc w:val="both"/>
        <w:rPr>
          <w:rFonts w:ascii="Arial" w:hAnsi="Arial" w:cs="Arial"/>
          <w:b/>
          <w:bCs/>
          <w:u w:val="single"/>
        </w:rPr>
      </w:pPr>
    </w:p>
    <w:p w14:paraId="2E680FE4" w14:textId="77777777" w:rsidR="00523AD5" w:rsidRPr="003B74E6" w:rsidRDefault="00523AD5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Záver</w:t>
      </w:r>
    </w:p>
    <w:p w14:paraId="69365712" w14:textId="77777777" w:rsidR="00523AD5" w:rsidRPr="00662C15" w:rsidRDefault="00523AD5" w:rsidP="006E04AE">
      <w:pPr>
        <w:jc w:val="both"/>
        <w:rPr>
          <w:rFonts w:ascii="Arial" w:hAnsi="Arial" w:cs="Arial"/>
        </w:rPr>
      </w:pPr>
    </w:p>
    <w:p w14:paraId="16CC7A22" w14:textId="444809AA" w:rsidR="003F2981" w:rsidRDefault="000A16FA" w:rsidP="006E04AE">
      <w:pPr>
        <w:ind w:firstLine="567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Všetky prípadné zmeny tejto dokumentácie je potrebné vopred prekonzultovať s projektantom.</w:t>
      </w:r>
    </w:p>
    <w:p w14:paraId="7DF83CA4" w14:textId="04F0521C" w:rsidR="00666FB5" w:rsidRPr="0002622B" w:rsidRDefault="00666FB5" w:rsidP="0002622B">
      <w:pPr>
        <w:jc w:val="both"/>
        <w:rPr>
          <w:rFonts w:ascii="Arial" w:hAnsi="Arial" w:cs="Arial"/>
        </w:rPr>
      </w:pPr>
    </w:p>
    <w:p w14:paraId="65E0D2B2" w14:textId="77777777" w:rsidR="00BE3B14" w:rsidRPr="00662C15" w:rsidRDefault="00BE3B14" w:rsidP="006E04AE">
      <w:pPr>
        <w:jc w:val="both"/>
        <w:rPr>
          <w:rFonts w:ascii="Arial" w:hAnsi="Arial" w:cs="Arial"/>
        </w:rPr>
      </w:pPr>
    </w:p>
    <w:p w14:paraId="5449B116" w14:textId="0F3AFBCA" w:rsidR="00864158" w:rsidRPr="00662C15" w:rsidRDefault="00455CD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 Košiciach</w:t>
      </w:r>
      <w:r w:rsidR="005154DD" w:rsidRPr="00662C15">
        <w:rPr>
          <w:rFonts w:ascii="Arial" w:hAnsi="Arial" w:cs="Arial"/>
        </w:rPr>
        <w:t>,</w:t>
      </w:r>
      <w:r w:rsidR="00956C57" w:rsidRPr="00662C15">
        <w:rPr>
          <w:rFonts w:ascii="Arial" w:hAnsi="Arial" w:cs="Arial"/>
        </w:rPr>
        <w:t xml:space="preserve"> </w:t>
      </w:r>
      <w:r w:rsidR="00D061DB">
        <w:rPr>
          <w:rFonts w:ascii="Arial" w:hAnsi="Arial" w:cs="Arial"/>
        </w:rPr>
        <w:t>Január 2024</w:t>
      </w:r>
      <w:r w:rsidR="00254472">
        <w:rPr>
          <w:rFonts w:ascii="Arial" w:hAnsi="Arial" w:cs="Arial"/>
        </w:rPr>
        <w:tab/>
      </w:r>
      <w:r w:rsidR="00AE3C0F" w:rsidRPr="00662C15">
        <w:rPr>
          <w:rFonts w:ascii="Arial" w:hAnsi="Arial" w:cs="Arial"/>
        </w:rPr>
        <w:tab/>
      </w:r>
      <w:r w:rsidR="00AE3C0F" w:rsidRPr="00662C15">
        <w:rPr>
          <w:rFonts w:ascii="Arial" w:hAnsi="Arial" w:cs="Arial"/>
        </w:rPr>
        <w:tab/>
      </w:r>
      <w:r w:rsidR="0045348D" w:rsidRPr="00662C15">
        <w:rPr>
          <w:rFonts w:ascii="Arial" w:hAnsi="Arial" w:cs="Arial"/>
        </w:rPr>
        <w:t xml:space="preserve">    </w:t>
      </w:r>
      <w:r w:rsidR="00B3605F" w:rsidRPr="00662C15">
        <w:rPr>
          <w:rFonts w:ascii="Arial" w:hAnsi="Arial" w:cs="Arial"/>
        </w:rPr>
        <w:tab/>
      </w:r>
      <w:r w:rsidR="00B3605F" w:rsidRPr="00662C15">
        <w:rPr>
          <w:rFonts w:ascii="Arial" w:hAnsi="Arial" w:cs="Arial"/>
        </w:rPr>
        <w:tab/>
      </w:r>
      <w:r w:rsidR="004317EC" w:rsidRPr="00662C15">
        <w:rPr>
          <w:rFonts w:ascii="Arial" w:hAnsi="Arial" w:cs="Arial"/>
        </w:rPr>
        <w:tab/>
      </w:r>
      <w:r w:rsidR="00234645">
        <w:rPr>
          <w:rFonts w:ascii="Arial" w:hAnsi="Arial" w:cs="Arial"/>
        </w:rPr>
        <w:tab/>
      </w:r>
      <w:r w:rsidR="00E310C4" w:rsidRPr="00662C15">
        <w:rPr>
          <w:rFonts w:ascii="Arial" w:hAnsi="Arial" w:cs="Arial"/>
        </w:rPr>
        <w:t>Vyhotovil :</w:t>
      </w:r>
      <w:r w:rsidR="000A16FA" w:rsidRPr="00662C15">
        <w:rPr>
          <w:rFonts w:ascii="Arial" w:hAnsi="Arial" w:cs="Arial"/>
        </w:rPr>
        <w:t xml:space="preserve"> Ing. Jozef Halač</w:t>
      </w:r>
    </w:p>
    <w:sectPr w:rsidR="00864158" w:rsidRPr="00662C15" w:rsidSect="00F6532C">
      <w:headerReference w:type="default" r:id="rId8"/>
      <w:footerReference w:type="default" r:id="rId9"/>
      <w:pgSz w:w="11907" w:h="16840" w:code="9"/>
      <w:pgMar w:top="1440" w:right="964" w:bottom="1440" w:left="1089" w:header="0" w:footer="709" w:gutter="0"/>
      <w:pgNumType w:start="1"/>
      <w:cols w:space="709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BA4FC" w14:textId="77777777" w:rsidR="00F6532C" w:rsidRDefault="00F6532C">
      <w:r>
        <w:separator/>
      </w:r>
    </w:p>
  </w:endnote>
  <w:endnote w:type="continuationSeparator" w:id="0">
    <w:p w14:paraId="520499FF" w14:textId="77777777" w:rsidR="00F6532C" w:rsidRDefault="00F6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7664" w14:textId="77777777" w:rsidR="000806C9" w:rsidRDefault="000806C9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30601">
      <w:rPr>
        <w:rStyle w:val="slostrany"/>
        <w:noProof/>
      </w:rPr>
      <w:t>3</w:t>
    </w:r>
    <w:r>
      <w:rPr>
        <w:rStyle w:val="slostrany"/>
      </w:rPr>
      <w:fldChar w:fldCharType="end"/>
    </w:r>
  </w:p>
  <w:p w14:paraId="6FAF99F1" w14:textId="77777777" w:rsidR="000806C9" w:rsidRDefault="000806C9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E3625" w14:textId="77777777" w:rsidR="00F6532C" w:rsidRDefault="00F6532C">
      <w:r>
        <w:separator/>
      </w:r>
    </w:p>
  </w:footnote>
  <w:footnote w:type="continuationSeparator" w:id="0">
    <w:p w14:paraId="5D2EB0F7" w14:textId="77777777" w:rsidR="00F6532C" w:rsidRDefault="00F65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4E55" w14:textId="77777777" w:rsidR="000806C9" w:rsidRDefault="000806C9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numFmt w:val="bullet"/>
      <w:pStyle w:val="TebwordHeading2"/>
      <w:lvlText w:val="-"/>
      <w:lvlJc w:val="left"/>
      <w:pPr>
        <w:tabs>
          <w:tab w:val="num" w:pos="645"/>
        </w:tabs>
        <w:ind w:left="645" w:hanging="360"/>
      </w:pPr>
      <w:rPr>
        <w:rFonts w:ascii="Arial" w:hAnsi="Arial" w:cs="Aria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6"/>
        </w:tabs>
        <w:ind w:left="726" w:hanging="726"/>
      </w:pPr>
    </w:lvl>
    <w:lvl w:ilvl="1">
      <w:start w:val="1"/>
      <w:numFmt w:val="decimal"/>
      <w:lvlText w:val="%1.%2"/>
      <w:lvlJc w:val="left"/>
      <w:pPr>
        <w:tabs>
          <w:tab w:val="num" w:pos="726"/>
        </w:tabs>
        <w:ind w:left="726" w:hanging="726"/>
      </w:pPr>
    </w:lvl>
    <w:lvl w:ilvl="2">
      <w:start w:val="1"/>
      <w:numFmt w:val="decimal"/>
      <w:lvlText w:val="%1.%2.%3"/>
      <w:lvlJc w:val="left"/>
      <w:pPr>
        <w:tabs>
          <w:tab w:val="num" w:pos="5404"/>
        </w:tabs>
        <w:ind w:left="5404" w:hanging="726"/>
      </w:pPr>
    </w:lvl>
    <w:lvl w:ilvl="3">
      <w:start w:val="1"/>
      <w:numFmt w:val="decimal"/>
      <w:lvlText w:val="%1.%2.%3.%4"/>
      <w:lvlJc w:val="left"/>
      <w:pPr>
        <w:tabs>
          <w:tab w:val="num" w:pos="726"/>
        </w:tabs>
        <w:ind w:left="726" w:hanging="726"/>
      </w:pPr>
    </w:lvl>
    <w:lvl w:ilvl="4">
      <w:start w:val="1"/>
      <w:numFmt w:val="decimal"/>
      <w:lvlText w:val="%1.%2.%3.%4.%5."/>
      <w:lvlJc w:val="left"/>
      <w:pPr>
        <w:tabs>
          <w:tab w:val="num" w:pos="1151"/>
        </w:tabs>
        <w:ind w:left="1151" w:hanging="792"/>
      </w:pPr>
    </w:lvl>
    <w:lvl w:ilvl="5">
      <w:start w:val="1"/>
      <w:numFmt w:val="decimal"/>
      <w:lvlText w:val="%1.%2.%3.%4.%5.%6."/>
      <w:lvlJc w:val="left"/>
      <w:pPr>
        <w:tabs>
          <w:tab w:val="num" w:pos="1655"/>
        </w:tabs>
        <w:ind w:left="1655" w:hanging="936"/>
      </w:pPr>
    </w:lvl>
    <w:lvl w:ilvl="6">
      <w:start w:val="1"/>
      <w:numFmt w:val="decimal"/>
      <w:lvlText w:val="%1.%2.%3.%4.%5.%6.%7."/>
      <w:lvlJc w:val="left"/>
      <w:pPr>
        <w:tabs>
          <w:tab w:val="num" w:pos="2159"/>
        </w:tabs>
        <w:ind w:left="215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663"/>
        </w:tabs>
        <w:ind w:left="266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239"/>
        </w:tabs>
        <w:ind w:left="3239" w:hanging="1440"/>
      </w:pPr>
    </w:lvl>
  </w:abstractNum>
  <w:abstractNum w:abstractNumId="3" w15:restartNumberingAfterBreak="0">
    <w:nsid w:val="23896C26"/>
    <w:multiLevelType w:val="hybridMultilevel"/>
    <w:tmpl w:val="661EF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B79F3"/>
    <w:multiLevelType w:val="hybridMultilevel"/>
    <w:tmpl w:val="641606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43B5C"/>
    <w:multiLevelType w:val="multilevel"/>
    <w:tmpl w:val="888E2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E83DD7"/>
    <w:multiLevelType w:val="hybridMultilevel"/>
    <w:tmpl w:val="42B45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E729F"/>
    <w:multiLevelType w:val="hybridMultilevel"/>
    <w:tmpl w:val="1C14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F44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81246672">
    <w:abstractNumId w:val="1"/>
  </w:num>
  <w:num w:numId="2" w16cid:durableId="756904895">
    <w:abstractNumId w:val="5"/>
  </w:num>
  <w:num w:numId="3" w16cid:durableId="1890605599">
    <w:abstractNumId w:val="8"/>
  </w:num>
  <w:num w:numId="4" w16cid:durableId="308019918">
    <w:abstractNumId w:val="3"/>
  </w:num>
  <w:num w:numId="5" w16cid:durableId="249504000">
    <w:abstractNumId w:val="6"/>
  </w:num>
  <w:num w:numId="6" w16cid:durableId="335571382">
    <w:abstractNumId w:val="4"/>
  </w:num>
  <w:num w:numId="7" w16cid:durableId="82524760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E4"/>
    <w:rsid w:val="000062D0"/>
    <w:rsid w:val="00015939"/>
    <w:rsid w:val="00016B08"/>
    <w:rsid w:val="00021923"/>
    <w:rsid w:val="000238D4"/>
    <w:rsid w:val="00024760"/>
    <w:rsid w:val="0002622B"/>
    <w:rsid w:val="00027934"/>
    <w:rsid w:val="00030F9E"/>
    <w:rsid w:val="000332BD"/>
    <w:rsid w:val="000352F3"/>
    <w:rsid w:val="000366A8"/>
    <w:rsid w:val="00036EE3"/>
    <w:rsid w:val="000420DC"/>
    <w:rsid w:val="000543A6"/>
    <w:rsid w:val="00054B83"/>
    <w:rsid w:val="00055D24"/>
    <w:rsid w:val="00057824"/>
    <w:rsid w:val="000607E0"/>
    <w:rsid w:val="00061C37"/>
    <w:rsid w:val="00067F92"/>
    <w:rsid w:val="00075AEB"/>
    <w:rsid w:val="00075B3C"/>
    <w:rsid w:val="000803E5"/>
    <w:rsid w:val="000806C9"/>
    <w:rsid w:val="000818C7"/>
    <w:rsid w:val="00091179"/>
    <w:rsid w:val="000A16FA"/>
    <w:rsid w:val="000A1E16"/>
    <w:rsid w:val="000A3099"/>
    <w:rsid w:val="000B135E"/>
    <w:rsid w:val="000B6F9A"/>
    <w:rsid w:val="000B7E98"/>
    <w:rsid w:val="000C38E8"/>
    <w:rsid w:val="000C5F3D"/>
    <w:rsid w:val="000F4AA6"/>
    <w:rsid w:val="000F5D68"/>
    <w:rsid w:val="000F6078"/>
    <w:rsid w:val="000F62E8"/>
    <w:rsid w:val="000F64D7"/>
    <w:rsid w:val="0010202F"/>
    <w:rsid w:val="00106DF4"/>
    <w:rsid w:val="001072A6"/>
    <w:rsid w:val="00107708"/>
    <w:rsid w:val="00127B0E"/>
    <w:rsid w:val="0013132E"/>
    <w:rsid w:val="00133C63"/>
    <w:rsid w:val="001342F2"/>
    <w:rsid w:val="00135781"/>
    <w:rsid w:val="001410BB"/>
    <w:rsid w:val="00145D23"/>
    <w:rsid w:val="00145D3F"/>
    <w:rsid w:val="00146EEF"/>
    <w:rsid w:val="0015514A"/>
    <w:rsid w:val="00162D8D"/>
    <w:rsid w:val="00163DC7"/>
    <w:rsid w:val="0017495D"/>
    <w:rsid w:val="00175674"/>
    <w:rsid w:val="00177219"/>
    <w:rsid w:val="00193D66"/>
    <w:rsid w:val="00193F27"/>
    <w:rsid w:val="0019691A"/>
    <w:rsid w:val="001A075A"/>
    <w:rsid w:val="001A59D7"/>
    <w:rsid w:val="001A7ED3"/>
    <w:rsid w:val="001B5A31"/>
    <w:rsid w:val="001C1EEA"/>
    <w:rsid w:val="001C6B3C"/>
    <w:rsid w:val="001C70AF"/>
    <w:rsid w:val="001C7A48"/>
    <w:rsid w:val="001D2004"/>
    <w:rsid w:val="001E5523"/>
    <w:rsid w:val="001F43FA"/>
    <w:rsid w:val="001F6590"/>
    <w:rsid w:val="00205986"/>
    <w:rsid w:val="002077FD"/>
    <w:rsid w:val="0021234E"/>
    <w:rsid w:val="00215BC2"/>
    <w:rsid w:val="00221DC5"/>
    <w:rsid w:val="002241EE"/>
    <w:rsid w:val="00227805"/>
    <w:rsid w:val="00234645"/>
    <w:rsid w:val="00236874"/>
    <w:rsid w:val="0024335A"/>
    <w:rsid w:val="00244CA9"/>
    <w:rsid w:val="002458DB"/>
    <w:rsid w:val="00245EA3"/>
    <w:rsid w:val="00246B91"/>
    <w:rsid w:val="002529C6"/>
    <w:rsid w:val="00254472"/>
    <w:rsid w:val="00254B25"/>
    <w:rsid w:val="002752C6"/>
    <w:rsid w:val="0028246D"/>
    <w:rsid w:val="0029241B"/>
    <w:rsid w:val="002937CF"/>
    <w:rsid w:val="00297191"/>
    <w:rsid w:val="002B1DBF"/>
    <w:rsid w:val="002B41F3"/>
    <w:rsid w:val="002C1FA3"/>
    <w:rsid w:val="002C7C30"/>
    <w:rsid w:val="002D0AFE"/>
    <w:rsid w:val="002D3BB9"/>
    <w:rsid w:val="002E1453"/>
    <w:rsid w:val="002E3096"/>
    <w:rsid w:val="002E329D"/>
    <w:rsid w:val="002F5BA0"/>
    <w:rsid w:val="002F6457"/>
    <w:rsid w:val="002F739E"/>
    <w:rsid w:val="0030552B"/>
    <w:rsid w:val="00311B57"/>
    <w:rsid w:val="003143FD"/>
    <w:rsid w:val="003171CB"/>
    <w:rsid w:val="00317904"/>
    <w:rsid w:val="00317DD7"/>
    <w:rsid w:val="00323FD6"/>
    <w:rsid w:val="0032436E"/>
    <w:rsid w:val="0032729F"/>
    <w:rsid w:val="00327F29"/>
    <w:rsid w:val="00334C9A"/>
    <w:rsid w:val="003404EF"/>
    <w:rsid w:val="0034149A"/>
    <w:rsid w:val="003420D2"/>
    <w:rsid w:val="0034519E"/>
    <w:rsid w:val="00366562"/>
    <w:rsid w:val="00380074"/>
    <w:rsid w:val="00381939"/>
    <w:rsid w:val="00382F9D"/>
    <w:rsid w:val="00383B20"/>
    <w:rsid w:val="00387E0E"/>
    <w:rsid w:val="00392CB1"/>
    <w:rsid w:val="003A3410"/>
    <w:rsid w:val="003A34A3"/>
    <w:rsid w:val="003B74E6"/>
    <w:rsid w:val="003C5E38"/>
    <w:rsid w:val="003C631C"/>
    <w:rsid w:val="003F1E84"/>
    <w:rsid w:val="003F2660"/>
    <w:rsid w:val="003F2981"/>
    <w:rsid w:val="003F2B0F"/>
    <w:rsid w:val="003F354C"/>
    <w:rsid w:val="00400018"/>
    <w:rsid w:val="00401C24"/>
    <w:rsid w:val="00404E87"/>
    <w:rsid w:val="00405352"/>
    <w:rsid w:val="004105A7"/>
    <w:rsid w:val="00412515"/>
    <w:rsid w:val="004206B2"/>
    <w:rsid w:val="004317EC"/>
    <w:rsid w:val="00432245"/>
    <w:rsid w:val="0043642F"/>
    <w:rsid w:val="00440FFF"/>
    <w:rsid w:val="0044261F"/>
    <w:rsid w:val="004431BD"/>
    <w:rsid w:val="00451ECB"/>
    <w:rsid w:val="0045348D"/>
    <w:rsid w:val="00455CD0"/>
    <w:rsid w:val="00457427"/>
    <w:rsid w:val="00465BCD"/>
    <w:rsid w:val="00474721"/>
    <w:rsid w:val="00474747"/>
    <w:rsid w:val="0047527E"/>
    <w:rsid w:val="004849B4"/>
    <w:rsid w:val="0048588B"/>
    <w:rsid w:val="0049084D"/>
    <w:rsid w:val="004A1DE9"/>
    <w:rsid w:val="004A634B"/>
    <w:rsid w:val="004B31FA"/>
    <w:rsid w:val="004B3D8F"/>
    <w:rsid w:val="004B5EC3"/>
    <w:rsid w:val="004B627B"/>
    <w:rsid w:val="004B7E67"/>
    <w:rsid w:val="004C3ED5"/>
    <w:rsid w:val="004D2020"/>
    <w:rsid w:val="004D4C57"/>
    <w:rsid w:val="004D6332"/>
    <w:rsid w:val="004E2E87"/>
    <w:rsid w:val="004E495C"/>
    <w:rsid w:val="004E5F4C"/>
    <w:rsid w:val="00506F7D"/>
    <w:rsid w:val="005131D3"/>
    <w:rsid w:val="00513E97"/>
    <w:rsid w:val="00514326"/>
    <w:rsid w:val="005154DD"/>
    <w:rsid w:val="0051662E"/>
    <w:rsid w:val="00517A98"/>
    <w:rsid w:val="00517D89"/>
    <w:rsid w:val="0052392B"/>
    <w:rsid w:val="00523AD5"/>
    <w:rsid w:val="00532EC6"/>
    <w:rsid w:val="00534AA6"/>
    <w:rsid w:val="00540A95"/>
    <w:rsid w:val="00542978"/>
    <w:rsid w:val="00546752"/>
    <w:rsid w:val="0054783A"/>
    <w:rsid w:val="00553693"/>
    <w:rsid w:val="00555732"/>
    <w:rsid w:val="005568F8"/>
    <w:rsid w:val="00567562"/>
    <w:rsid w:val="0057323E"/>
    <w:rsid w:val="00573A45"/>
    <w:rsid w:val="00574AE3"/>
    <w:rsid w:val="00580B9F"/>
    <w:rsid w:val="00581898"/>
    <w:rsid w:val="00582BF3"/>
    <w:rsid w:val="00587C3F"/>
    <w:rsid w:val="005A0C89"/>
    <w:rsid w:val="005B04AE"/>
    <w:rsid w:val="005B302A"/>
    <w:rsid w:val="005B3670"/>
    <w:rsid w:val="005B38FC"/>
    <w:rsid w:val="005C73BC"/>
    <w:rsid w:val="005C7C48"/>
    <w:rsid w:val="005D5C8E"/>
    <w:rsid w:val="005E3970"/>
    <w:rsid w:val="005E5A86"/>
    <w:rsid w:val="005E708F"/>
    <w:rsid w:val="005E73D7"/>
    <w:rsid w:val="005F1CAC"/>
    <w:rsid w:val="005F63D0"/>
    <w:rsid w:val="00601295"/>
    <w:rsid w:val="0061109C"/>
    <w:rsid w:val="00615F40"/>
    <w:rsid w:val="00616D06"/>
    <w:rsid w:val="00617589"/>
    <w:rsid w:val="00620397"/>
    <w:rsid w:val="006256A5"/>
    <w:rsid w:val="00626904"/>
    <w:rsid w:val="00630346"/>
    <w:rsid w:val="00634A7D"/>
    <w:rsid w:val="00637898"/>
    <w:rsid w:val="006461E3"/>
    <w:rsid w:val="006479C2"/>
    <w:rsid w:val="006504EB"/>
    <w:rsid w:val="00653166"/>
    <w:rsid w:val="00654112"/>
    <w:rsid w:val="00656DBC"/>
    <w:rsid w:val="00662C15"/>
    <w:rsid w:val="0066453A"/>
    <w:rsid w:val="00665E49"/>
    <w:rsid w:val="00666270"/>
    <w:rsid w:val="00666C53"/>
    <w:rsid w:val="00666FB5"/>
    <w:rsid w:val="00670164"/>
    <w:rsid w:val="00675B13"/>
    <w:rsid w:val="0068554D"/>
    <w:rsid w:val="00691B9B"/>
    <w:rsid w:val="00692C06"/>
    <w:rsid w:val="0069575D"/>
    <w:rsid w:val="006A0B24"/>
    <w:rsid w:val="006A7B7A"/>
    <w:rsid w:val="006B2134"/>
    <w:rsid w:val="006B43CE"/>
    <w:rsid w:val="006C0D67"/>
    <w:rsid w:val="006C1333"/>
    <w:rsid w:val="006C3097"/>
    <w:rsid w:val="006C3F34"/>
    <w:rsid w:val="006C5D5B"/>
    <w:rsid w:val="006D3752"/>
    <w:rsid w:val="006D5F9C"/>
    <w:rsid w:val="006E04AE"/>
    <w:rsid w:val="006E1F77"/>
    <w:rsid w:val="006E56F4"/>
    <w:rsid w:val="006F17ED"/>
    <w:rsid w:val="006F3302"/>
    <w:rsid w:val="006F3FC9"/>
    <w:rsid w:val="006F7E51"/>
    <w:rsid w:val="0071243C"/>
    <w:rsid w:val="0071705E"/>
    <w:rsid w:val="00717D21"/>
    <w:rsid w:val="00720134"/>
    <w:rsid w:val="00720CFE"/>
    <w:rsid w:val="00732DCD"/>
    <w:rsid w:val="0074317B"/>
    <w:rsid w:val="0074421D"/>
    <w:rsid w:val="007470CD"/>
    <w:rsid w:val="0074729F"/>
    <w:rsid w:val="00751A6B"/>
    <w:rsid w:val="007536FE"/>
    <w:rsid w:val="007540FA"/>
    <w:rsid w:val="00757EAA"/>
    <w:rsid w:val="00766EC4"/>
    <w:rsid w:val="00773940"/>
    <w:rsid w:val="00774AD3"/>
    <w:rsid w:val="00780361"/>
    <w:rsid w:val="00792A85"/>
    <w:rsid w:val="007A3178"/>
    <w:rsid w:val="007A31D9"/>
    <w:rsid w:val="007A64B9"/>
    <w:rsid w:val="007B120A"/>
    <w:rsid w:val="007B298C"/>
    <w:rsid w:val="007C04A8"/>
    <w:rsid w:val="007C0911"/>
    <w:rsid w:val="007C0EEF"/>
    <w:rsid w:val="007C6F28"/>
    <w:rsid w:val="007E1697"/>
    <w:rsid w:val="007E2D8D"/>
    <w:rsid w:val="007E5778"/>
    <w:rsid w:val="007F6345"/>
    <w:rsid w:val="007F65B7"/>
    <w:rsid w:val="007F65CF"/>
    <w:rsid w:val="008016E0"/>
    <w:rsid w:val="0080337C"/>
    <w:rsid w:val="00807660"/>
    <w:rsid w:val="008133E6"/>
    <w:rsid w:val="008217FC"/>
    <w:rsid w:val="00825312"/>
    <w:rsid w:val="008307B1"/>
    <w:rsid w:val="008367B3"/>
    <w:rsid w:val="00843996"/>
    <w:rsid w:val="008461B3"/>
    <w:rsid w:val="0084705F"/>
    <w:rsid w:val="008475B2"/>
    <w:rsid w:val="008478D3"/>
    <w:rsid w:val="0085152E"/>
    <w:rsid w:val="00853B64"/>
    <w:rsid w:val="00864158"/>
    <w:rsid w:val="008645D2"/>
    <w:rsid w:val="00871CD8"/>
    <w:rsid w:val="00872C92"/>
    <w:rsid w:val="00880365"/>
    <w:rsid w:val="00885878"/>
    <w:rsid w:val="00886EDD"/>
    <w:rsid w:val="00896C9D"/>
    <w:rsid w:val="008A197F"/>
    <w:rsid w:val="008A2283"/>
    <w:rsid w:val="008A5339"/>
    <w:rsid w:val="008B54E2"/>
    <w:rsid w:val="008B5736"/>
    <w:rsid w:val="008C0313"/>
    <w:rsid w:val="008C70B2"/>
    <w:rsid w:val="008D584D"/>
    <w:rsid w:val="008E0E34"/>
    <w:rsid w:val="008E1DB1"/>
    <w:rsid w:val="008F59D8"/>
    <w:rsid w:val="009008D2"/>
    <w:rsid w:val="00902D2B"/>
    <w:rsid w:val="00906D86"/>
    <w:rsid w:val="00910930"/>
    <w:rsid w:val="00910EB6"/>
    <w:rsid w:val="00913639"/>
    <w:rsid w:val="00914CB0"/>
    <w:rsid w:val="009164A4"/>
    <w:rsid w:val="009216F5"/>
    <w:rsid w:val="009239E9"/>
    <w:rsid w:val="00933CC6"/>
    <w:rsid w:val="00936835"/>
    <w:rsid w:val="00942F2C"/>
    <w:rsid w:val="009455AB"/>
    <w:rsid w:val="0094728F"/>
    <w:rsid w:val="009472A4"/>
    <w:rsid w:val="00953D92"/>
    <w:rsid w:val="009547B9"/>
    <w:rsid w:val="009549C2"/>
    <w:rsid w:val="00954DB7"/>
    <w:rsid w:val="009553EB"/>
    <w:rsid w:val="00955B1E"/>
    <w:rsid w:val="00956C57"/>
    <w:rsid w:val="00965BB6"/>
    <w:rsid w:val="00970348"/>
    <w:rsid w:val="00977538"/>
    <w:rsid w:val="009864F4"/>
    <w:rsid w:val="009910BB"/>
    <w:rsid w:val="00992BE3"/>
    <w:rsid w:val="009931C4"/>
    <w:rsid w:val="009A0818"/>
    <w:rsid w:val="009A1933"/>
    <w:rsid w:val="009A41EC"/>
    <w:rsid w:val="009A6C39"/>
    <w:rsid w:val="009C022D"/>
    <w:rsid w:val="009C27DC"/>
    <w:rsid w:val="009C3C91"/>
    <w:rsid w:val="009C5D7F"/>
    <w:rsid w:val="009C7FAA"/>
    <w:rsid w:val="009D0D51"/>
    <w:rsid w:val="009D4E6F"/>
    <w:rsid w:val="009E1366"/>
    <w:rsid w:val="009E59F1"/>
    <w:rsid w:val="009E6F4E"/>
    <w:rsid w:val="009F279D"/>
    <w:rsid w:val="009F32A4"/>
    <w:rsid w:val="009F3A60"/>
    <w:rsid w:val="00A025B3"/>
    <w:rsid w:val="00A042C2"/>
    <w:rsid w:val="00A1451D"/>
    <w:rsid w:val="00A168EC"/>
    <w:rsid w:val="00A17BAC"/>
    <w:rsid w:val="00A22818"/>
    <w:rsid w:val="00A22AAD"/>
    <w:rsid w:val="00A27ABC"/>
    <w:rsid w:val="00A325FC"/>
    <w:rsid w:val="00A378C7"/>
    <w:rsid w:val="00A401D6"/>
    <w:rsid w:val="00A425BF"/>
    <w:rsid w:val="00A5082D"/>
    <w:rsid w:val="00A53B4B"/>
    <w:rsid w:val="00A60969"/>
    <w:rsid w:val="00A6373C"/>
    <w:rsid w:val="00A711E2"/>
    <w:rsid w:val="00A71749"/>
    <w:rsid w:val="00A71DF4"/>
    <w:rsid w:val="00A74B11"/>
    <w:rsid w:val="00A814D9"/>
    <w:rsid w:val="00A8559C"/>
    <w:rsid w:val="00A860BE"/>
    <w:rsid w:val="00A94DB6"/>
    <w:rsid w:val="00AA487C"/>
    <w:rsid w:val="00AB3461"/>
    <w:rsid w:val="00AB5585"/>
    <w:rsid w:val="00AB5796"/>
    <w:rsid w:val="00AB6637"/>
    <w:rsid w:val="00AC44D4"/>
    <w:rsid w:val="00AC74C9"/>
    <w:rsid w:val="00AD5A8C"/>
    <w:rsid w:val="00AE0128"/>
    <w:rsid w:val="00AE12F8"/>
    <w:rsid w:val="00AE3C0F"/>
    <w:rsid w:val="00AE483D"/>
    <w:rsid w:val="00AE53E3"/>
    <w:rsid w:val="00B01022"/>
    <w:rsid w:val="00B022F1"/>
    <w:rsid w:val="00B02DA3"/>
    <w:rsid w:val="00B12D79"/>
    <w:rsid w:val="00B1307A"/>
    <w:rsid w:val="00B1318F"/>
    <w:rsid w:val="00B314DD"/>
    <w:rsid w:val="00B315FE"/>
    <w:rsid w:val="00B33D40"/>
    <w:rsid w:val="00B3605F"/>
    <w:rsid w:val="00B36DC4"/>
    <w:rsid w:val="00B41BC0"/>
    <w:rsid w:val="00B4699D"/>
    <w:rsid w:val="00B515B5"/>
    <w:rsid w:val="00B518A5"/>
    <w:rsid w:val="00B63139"/>
    <w:rsid w:val="00B6313B"/>
    <w:rsid w:val="00B65671"/>
    <w:rsid w:val="00B75064"/>
    <w:rsid w:val="00B75A69"/>
    <w:rsid w:val="00B75F59"/>
    <w:rsid w:val="00B81350"/>
    <w:rsid w:val="00B814F1"/>
    <w:rsid w:val="00B82C2A"/>
    <w:rsid w:val="00B85920"/>
    <w:rsid w:val="00B97CBF"/>
    <w:rsid w:val="00BA0CD6"/>
    <w:rsid w:val="00BA3FDD"/>
    <w:rsid w:val="00BA755C"/>
    <w:rsid w:val="00BA7F12"/>
    <w:rsid w:val="00BB142D"/>
    <w:rsid w:val="00BB63D3"/>
    <w:rsid w:val="00BC2879"/>
    <w:rsid w:val="00BC2E6D"/>
    <w:rsid w:val="00BC359F"/>
    <w:rsid w:val="00BC58F5"/>
    <w:rsid w:val="00BC6D53"/>
    <w:rsid w:val="00BD497E"/>
    <w:rsid w:val="00BD5C30"/>
    <w:rsid w:val="00BE3B14"/>
    <w:rsid w:val="00BE510B"/>
    <w:rsid w:val="00BE6F5B"/>
    <w:rsid w:val="00BF2264"/>
    <w:rsid w:val="00BF38AE"/>
    <w:rsid w:val="00BF4321"/>
    <w:rsid w:val="00BF6FC7"/>
    <w:rsid w:val="00C15FB1"/>
    <w:rsid w:val="00C21833"/>
    <w:rsid w:val="00C223A4"/>
    <w:rsid w:val="00C2243B"/>
    <w:rsid w:val="00C23A6D"/>
    <w:rsid w:val="00C24E81"/>
    <w:rsid w:val="00C25A49"/>
    <w:rsid w:val="00C315AD"/>
    <w:rsid w:val="00C31780"/>
    <w:rsid w:val="00C40BD5"/>
    <w:rsid w:val="00C445F3"/>
    <w:rsid w:val="00C44C08"/>
    <w:rsid w:val="00C51BB7"/>
    <w:rsid w:val="00C53A0F"/>
    <w:rsid w:val="00C54C48"/>
    <w:rsid w:val="00C5586E"/>
    <w:rsid w:val="00C55FDE"/>
    <w:rsid w:val="00C5774A"/>
    <w:rsid w:val="00C60E3B"/>
    <w:rsid w:val="00C619E8"/>
    <w:rsid w:val="00C749EC"/>
    <w:rsid w:val="00C81CE5"/>
    <w:rsid w:val="00C84C8A"/>
    <w:rsid w:val="00C853FA"/>
    <w:rsid w:val="00C876D9"/>
    <w:rsid w:val="00C91159"/>
    <w:rsid w:val="00C931B8"/>
    <w:rsid w:val="00C97938"/>
    <w:rsid w:val="00CA48D6"/>
    <w:rsid w:val="00CA6967"/>
    <w:rsid w:val="00CB369F"/>
    <w:rsid w:val="00CC0961"/>
    <w:rsid w:val="00CC1F24"/>
    <w:rsid w:val="00CC69C3"/>
    <w:rsid w:val="00CD01AF"/>
    <w:rsid w:val="00CD4524"/>
    <w:rsid w:val="00CE1E56"/>
    <w:rsid w:val="00CE2C7E"/>
    <w:rsid w:val="00CE35DB"/>
    <w:rsid w:val="00CE41E2"/>
    <w:rsid w:val="00CE4DBB"/>
    <w:rsid w:val="00CE57DC"/>
    <w:rsid w:val="00CE78C3"/>
    <w:rsid w:val="00CF0AC6"/>
    <w:rsid w:val="00CF17C8"/>
    <w:rsid w:val="00CF603F"/>
    <w:rsid w:val="00D0090F"/>
    <w:rsid w:val="00D01B60"/>
    <w:rsid w:val="00D01CD3"/>
    <w:rsid w:val="00D02374"/>
    <w:rsid w:val="00D030C5"/>
    <w:rsid w:val="00D061DB"/>
    <w:rsid w:val="00D1770C"/>
    <w:rsid w:val="00D21E3D"/>
    <w:rsid w:val="00D229CC"/>
    <w:rsid w:val="00D23331"/>
    <w:rsid w:val="00D24793"/>
    <w:rsid w:val="00D25945"/>
    <w:rsid w:val="00D26A42"/>
    <w:rsid w:val="00D30601"/>
    <w:rsid w:val="00D3563B"/>
    <w:rsid w:val="00D36C76"/>
    <w:rsid w:val="00D37D9F"/>
    <w:rsid w:val="00D4074F"/>
    <w:rsid w:val="00D407D5"/>
    <w:rsid w:val="00D44273"/>
    <w:rsid w:val="00D51055"/>
    <w:rsid w:val="00D52ABF"/>
    <w:rsid w:val="00D562D6"/>
    <w:rsid w:val="00D61A6D"/>
    <w:rsid w:val="00D676F4"/>
    <w:rsid w:val="00D73DD9"/>
    <w:rsid w:val="00D76811"/>
    <w:rsid w:val="00D810E4"/>
    <w:rsid w:val="00D81487"/>
    <w:rsid w:val="00D818D9"/>
    <w:rsid w:val="00D821A0"/>
    <w:rsid w:val="00D83CA2"/>
    <w:rsid w:val="00D84E8B"/>
    <w:rsid w:val="00D87683"/>
    <w:rsid w:val="00D923AB"/>
    <w:rsid w:val="00D929F6"/>
    <w:rsid w:val="00D95482"/>
    <w:rsid w:val="00D95DF5"/>
    <w:rsid w:val="00DA159E"/>
    <w:rsid w:val="00DA48EF"/>
    <w:rsid w:val="00DA6EFA"/>
    <w:rsid w:val="00DA7B4C"/>
    <w:rsid w:val="00DB133C"/>
    <w:rsid w:val="00DB251C"/>
    <w:rsid w:val="00DC3CBD"/>
    <w:rsid w:val="00DC6229"/>
    <w:rsid w:val="00DC6DB5"/>
    <w:rsid w:val="00DD083E"/>
    <w:rsid w:val="00DD259A"/>
    <w:rsid w:val="00DD3001"/>
    <w:rsid w:val="00DD360D"/>
    <w:rsid w:val="00DD6A38"/>
    <w:rsid w:val="00DE02FD"/>
    <w:rsid w:val="00DE2F31"/>
    <w:rsid w:val="00DE4C92"/>
    <w:rsid w:val="00DF0EBE"/>
    <w:rsid w:val="00DF635F"/>
    <w:rsid w:val="00E00809"/>
    <w:rsid w:val="00E04CB8"/>
    <w:rsid w:val="00E0706B"/>
    <w:rsid w:val="00E102FC"/>
    <w:rsid w:val="00E120E5"/>
    <w:rsid w:val="00E123E1"/>
    <w:rsid w:val="00E1798D"/>
    <w:rsid w:val="00E17C46"/>
    <w:rsid w:val="00E20277"/>
    <w:rsid w:val="00E24CBB"/>
    <w:rsid w:val="00E27B83"/>
    <w:rsid w:val="00E310C4"/>
    <w:rsid w:val="00E35798"/>
    <w:rsid w:val="00E54C9C"/>
    <w:rsid w:val="00E66455"/>
    <w:rsid w:val="00E744D6"/>
    <w:rsid w:val="00E768EC"/>
    <w:rsid w:val="00E86D24"/>
    <w:rsid w:val="00E92628"/>
    <w:rsid w:val="00E94F5D"/>
    <w:rsid w:val="00E9793E"/>
    <w:rsid w:val="00E97CAC"/>
    <w:rsid w:val="00EA2FE8"/>
    <w:rsid w:val="00EB277B"/>
    <w:rsid w:val="00EC1714"/>
    <w:rsid w:val="00EC217E"/>
    <w:rsid w:val="00EC7297"/>
    <w:rsid w:val="00ED366E"/>
    <w:rsid w:val="00ED58BD"/>
    <w:rsid w:val="00ED74D8"/>
    <w:rsid w:val="00EE3D08"/>
    <w:rsid w:val="00EE53F8"/>
    <w:rsid w:val="00EF20F5"/>
    <w:rsid w:val="00EF4880"/>
    <w:rsid w:val="00F06047"/>
    <w:rsid w:val="00F070EC"/>
    <w:rsid w:val="00F1008F"/>
    <w:rsid w:val="00F11D52"/>
    <w:rsid w:val="00F1487E"/>
    <w:rsid w:val="00F14FF5"/>
    <w:rsid w:val="00F15DDC"/>
    <w:rsid w:val="00F16A5F"/>
    <w:rsid w:val="00F26900"/>
    <w:rsid w:val="00F3314D"/>
    <w:rsid w:val="00F40113"/>
    <w:rsid w:val="00F45F25"/>
    <w:rsid w:val="00F46E68"/>
    <w:rsid w:val="00F50EAE"/>
    <w:rsid w:val="00F5111D"/>
    <w:rsid w:val="00F5164B"/>
    <w:rsid w:val="00F5193F"/>
    <w:rsid w:val="00F55E23"/>
    <w:rsid w:val="00F6532C"/>
    <w:rsid w:val="00F70304"/>
    <w:rsid w:val="00F70F9D"/>
    <w:rsid w:val="00F801D9"/>
    <w:rsid w:val="00F8737E"/>
    <w:rsid w:val="00F919C3"/>
    <w:rsid w:val="00F925E5"/>
    <w:rsid w:val="00FA0895"/>
    <w:rsid w:val="00FB0B1B"/>
    <w:rsid w:val="00FB168A"/>
    <w:rsid w:val="00FB39F6"/>
    <w:rsid w:val="00FB5D09"/>
    <w:rsid w:val="00FB6AA6"/>
    <w:rsid w:val="00FC0298"/>
    <w:rsid w:val="00FC1400"/>
    <w:rsid w:val="00FC2519"/>
    <w:rsid w:val="00FC5874"/>
    <w:rsid w:val="00FC66EC"/>
    <w:rsid w:val="00FF053B"/>
    <w:rsid w:val="00FF3432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D3FA8"/>
  <w15:chartTrackingRefBased/>
  <w15:docId w15:val="{C19F4A2C-C615-4325-AB77-F6C784DE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</w:pPr>
    <w:rPr>
      <w:lang w:eastAsia="cs-CZ"/>
    </w:rPr>
  </w:style>
  <w:style w:type="paragraph" w:styleId="Nadpis1">
    <w:name w:val="heading 1"/>
    <w:basedOn w:val="Normlny"/>
    <w:next w:val="Normlny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Nadpis2">
    <w:name w:val="heading 2"/>
    <w:basedOn w:val="Normlny"/>
    <w:next w:val="Normlny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y"/>
    <w:next w:val="Normlnysozarkami"/>
    <w:qFormat/>
    <w:pPr>
      <w:ind w:left="354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sozarkami"/>
    <w:qFormat/>
    <w:pPr>
      <w:ind w:left="354"/>
      <w:outlineLvl w:val="3"/>
    </w:pPr>
    <w:rPr>
      <w:sz w:val="24"/>
      <w:szCs w:val="24"/>
      <w:u w:val="single"/>
    </w:rPr>
  </w:style>
  <w:style w:type="paragraph" w:styleId="Nadpis5">
    <w:name w:val="heading 5"/>
    <w:basedOn w:val="Normlny"/>
    <w:next w:val="Normlnysozarkami"/>
    <w:qFormat/>
    <w:pPr>
      <w:ind w:left="708"/>
      <w:outlineLvl w:val="4"/>
    </w:pPr>
    <w:rPr>
      <w:b/>
      <w:bCs/>
    </w:rPr>
  </w:style>
  <w:style w:type="paragraph" w:styleId="Nadpis6">
    <w:name w:val="heading 6"/>
    <w:basedOn w:val="Normlny"/>
    <w:next w:val="Normlnysozarkami"/>
    <w:qFormat/>
    <w:pPr>
      <w:ind w:left="708"/>
      <w:outlineLvl w:val="5"/>
    </w:pPr>
    <w:rPr>
      <w:u w:val="single"/>
    </w:rPr>
  </w:style>
  <w:style w:type="paragraph" w:styleId="Nadpis7">
    <w:name w:val="heading 7"/>
    <w:basedOn w:val="Normlny"/>
    <w:next w:val="Normlnysozarkami"/>
    <w:qFormat/>
    <w:pPr>
      <w:ind w:left="708"/>
      <w:outlineLvl w:val="6"/>
    </w:pPr>
    <w:rPr>
      <w:i/>
      <w:iCs/>
    </w:rPr>
  </w:style>
  <w:style w:type="paragraph" w:styleId="Nadpis8">
    <w:name w:val="heading 8"/>
    <w:basedOn w:val="Normlny"/>
    <w:next w:val="Normlnysozarkami"/>
    <w:qFormat/>
    <w:pPr>
      <w:ind w:left="708"/>
      <w:outlineLvl w:val="7"/>
    </w:pPr>
    <w:rPr>
      <w:i/>
      <w:iCs/>
    </w:rPr>
  </w:style>
  <w:style w:type="paragraph" w:styleId="Nadpis9">
    <w:name w:val="heading 9"/>
    <w:basedOn w:val="Normlny"/>
    <w:next w:val="Normlnysozarkami"/>
    <w:qFormat/>
    <w:pPr>
      <w:ind w:left="708"/>
      <w:outlineLvl w:val="8"/>
    </w:pPr>
    <w:rPr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Pta">
    <w:name w:val="footer"/>
    <w:basedOn w:val="Normlny"/>
    <w:pPr>
      <w:tabs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enter" w:pos="4819"/>
        <w:tab w:val="right" w:pos="9071"/>
      </w:tabs>
    </w:pPr>
  </w:style>
  <w:style w:type="character" w:styleId="Odkaznapoznmkupodiarou">
    <w:name w:val="footnote reference"/>
    <w:semiHidden/>
    <w:rPr>
      <w:position w:val="6"/>
      <w:sz w:val="16"/>
      <w:szCs w:val="16"/>
    </w:rPr>
  </w:style>
  <w:style w:type="paragraph" w:styleId="Textpoznmkypodiarou">
    <w:name w:val="footnote text"/>
    <w:basedOn w:val="Normlny"/>
    <w:semiHidden/>
  </w:style>
  <w:style w:type="paragraph" w:styleId="Zoznam">
    <w:name w:val="List"/>
    <w:basedOn w:val="Normlny"/>
    <w:pPr>
      <w:ind w:left="283" w:hanging="283"/>
    </w:pPr>
  </w:style>
  <w:style w:type="paragraph" w:styleId="Zkladntext">
    <w:name w:val="Body Text"/>
    <w:basedOn w:val="Normlny"/>
    <w:link w:val="ZkladntextChar"/>
    <w:pPr>
      <w:spacing w:after="120"/>
    </w:pPr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link w:val="Zkladntext2Char"/>
    <w:rPr>
      <w:rFonts w:ascii="Arial" w:hAnsi="Arial" w:cs="Arial"/>
      <w:sz w:val="24"/>
      <w:szCs w:val="24"/>
    </w:rPr>
  </w:style>
  <w:style w:type="paragraph" w:customStyle="1" w:styleId="tt">
    <w:name w:val="tt"/>
    <w:basedOn w:val="Normlny"/>
    <w:rsid w:val="00CC1F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Normlnywebov">
    <w:name w:val="Normal (Web)"/>
    <w:basedOn w:val="Normlny"/>
    <w:uiPriority w:val="99"/>
    <w:rsid w:val="00D2333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truktradokumentu">
    <w:name w:val="Document Map"/>
    <w:basedOn w:val="Normlny"/>
    <w:semiHidden/>
    <w:rsid w:val="000F64D7"/>
    <w:pPr>
      <w:shd w:val="clear" w:color="auto" w:fill="000080"/>
    </w:pPr>
    <w:rPr>
      <w:rFonts w:ascii="Tahoma" w:hAnsi="Tahoma" w:cs="Tahoma"/>
    </w:rPr>
  </w:style>
  <w:style w:type="paragraph" w:styleId="Obyajntext">
    <w:name w:val="Plain Text"/>
    <w:basedOn w:val="Normlny"/>
    <w:rsid w:val="006C1333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Textbubliny">
    <w:name w:val="Balloon Text"/>
    <w:basedOn w:val="Normlny"/>
    <w:semiHidden/>
    <w:rsid w:val="00DF0EB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D407D5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D407D5"/>
    <w:rPr>
      <w:lang w:eastAsia="cs-CZ"/>
    </w:rPr>
  </w:style>
  <w:style w:type="paragraph" w:customStyle="1" w:styleId="Zkladntext21">
    <w:name w:val="Základný text 21"/>
    <w:basedOn w:val="Normlny"/>
    <w:rsid w:val="00D407D5"/>
    <w:pPr>
      <w:widowControl/>
      <w:overflowPunct w:val="0"/>
      <w:jc w:val="both"/>
      <w:textAlignment w:val="baseline"/>
    </w:pPr>
    <w:rPr>
      <w:b/>
      <w:sz w:val="22"/>
      <w:lang w:eastAsia="sk-SK"/>
    </w:rPr>
  </w:style>
  <w:style w:type="paragraph" w:customStyle="1" w:styleId="TebwordHeading2">
    <w:name w:val="Tebword_Heading 2"/>
    <w:basedOn w:val="Normlny"/>
    <w:next w:val="Normlny"/>
    <w:rsid w:val="006F7E51"/>
    <w:pPr>
      <w:widowControl/>
      <w:numPr>
        <w:numId w:val="1"/>
      </w:numPr>
      <w:tabs>
        <w:tab w:val="left" w:pos="0"/>
        <w:tab w:val="left" w:pos="360"/>
        <w:tab w:val="left" w:pos="1156"/>
      </w:tabs>
      <w:suppressAutoHyphens/>
      <w:autoSpaceDE/>
      <w:autoSpaceDN/>
      <w:adjustRightInd/>
      <w:spacing w:before="120" w:after="120" w:line="240" w:lineRule="exact"/>
      <w:ind w:left="1156"/>
      <w:jc w:val="both"/>
    </w:pPr>
    <w:rPr>
      <w:rFonts w:ascii="Arial" w:hAnsi="Arial"/>
      <w:b/>
      <w:sz w:val="22"/>
      <w:szCs w:val="24"/>
      <w:lang w:eastAsia="ar-SA"/>
    </w:rPr>
  </w:style>
  <w:style w:type="paragraph" w:customStyle="1" w:styleId="TebwordHeading3">
    <w:name w:val="Tebword_Heading 3"/>
    <w:basedOn w:val="TebwordHeading2"/>
    <w:next w:val="Normlny"/>
    <w:rsid w:val="006F7E51"/>
    <w:pPr>
      <w:tabs>
        <w:tab w:val="clear" w:pos="1156"/>
        <w:tab w:val="left" w:pos="720"/>
        <w:tab w:val="left" w:pos="1876"/>
      </w:tabs>
      <w:ind w:left="1876"/>
    </w:pPr>
    <w:rPr>
      <w:sz w:val="20"/>
    </w:rPr>
  </w:style>
  <w:style w:type="paragraph" w:customStyle="1" w:styleId="Normalindent">
    <w:name w:val="Normal_indent"/>
    <w:basedOn w:val="Normlny"/>
    <w:rsid w:val="006F7E51"/>
    <w:pPr>
      <w:widowControl/>
      <w:suppressAutoHyphens/>
      <w:autoSpaceDE/>
      <w:autoSpaceDN/>
      <w:adjustRightInd/>
      <w:spacing w:line="280" w:lineRule="exact"/>
      <w:ind w:left="726"/>
      <w:jc w:val="both"/>
    </w:pPr>
    <w:rPr>
      <w:rFonts w:ascii="Arial" w:hAnsi="Arial"/>
      <w:sz w:val="19"/>
      <w:szCs w:val="24"/>
      <w:lang w:eastAsia="ar-SA"/>
    </w:rPr>
  </w:style>
  <w:style w:type="paragraph" w:styleId="Zoznamsodrkami">
    <w:name w:val="List Bullet"/>
    <w:basedOn w:val="Normlny"/>
    <w:rsid w:val="004C3ED5"/>
    <w:pPr>
      <w:widowControl/>
      <w:autoSpaceDE/>
      <w:autoSpaceDN/>
      <w:adjustRightInd/>
      <w:spacing w:line="360" w:lineRule="auto"/>
      <w:ind w:left="283" w:hanging="283"/>
    </w:pPr>
    <w:rPr>
      <w:sz w:val="22"/>
    </w:rPr>
  </w:style>
  <w:style w:type="character" w:customStyle="1" w:styleId="WW8Num1z2">
    <w:name w:val="WW8Num1z2"/>
    <w:rsid w:val="0045348D"/>
    <w:rPr>
      <w:rFonts w:ascii="Wingdings" w:hAnsi="Wingdings"/>
    </w:rPr>
  </w:style>
  <w:style w:type="character" w:customStyle="1" w:styleId="formtext">
    <w:name w:val="formtext"/>
    <w:rsid w:val="008016E0"/>
  </w:style>
  <w:style w:type="character" w:customStyle="1" w:styleId="apple-converted-space">
    <w:name w:val="apple-converted-space"/>
    <w:rsid w:val="008016E0"/>
  </w:style>
  <w:style w:type="character" w:customStyle="1" w:styleId="Zkladntext3">
    <w:name w:val="Základný text (3)"/>
    <w:link w:val="Zkladntext1"/>
    <w:rsid w:val="006F17ED"/>
    <w:rPr>
      <w:rFonts w:ascii="Arial" w:hAnsi="Arial" w:cs="Arial"/>
      <w:i/>
      <w:iCs/>
      <w:spacing w:val="3"/>
      <w:sz w:val="17"/>
      <w:szCs w:val="17"/>
      <w:u w:val="single"/>
      <w:shd w:val="clear" w:color="auto" w:fill="FFFFFF"/>
      <w:lang w:val="en-US"/>
    </w:rPr>
  </w:style>
  <w:style w:type="paragraph" w:customStyle="1" w:styleId="Zkladntext1">
    <w:name w:val="Základný text1"/>
    <w:basedOn w:val="Normlny"/>
    <w:link w:val="Zkladntext3"/>
    <w:rsid w:val="006F17ED"/>
    <w:pPr>
      <w:widowControl/>
      <w:shd w:val="clear" w:color="auto" w:fill="FFFFFF"/>
      <w:autoSpaceDE/>
      <w:autoSpaceDN/>
      <w:adjustRightInd/>
      <w:spacing w:line="456" w:lineRule="exact"/>
    </w:pPr>
    <w:rPr>
      <w:rFonts w:ascii="Arial" w:hAnsi="Arial"/>
      <w:i/>
      <w:iCs/>
      <w:spacing w:val="3"/>
      <w:sz w:val="17"/>
      <w:szCs w:val="17"/>
      <w:u w:val="single"/>
      <w:lang w:val="en-US" w:eastAsia="x-none"/>
    </w:rPr>
  </w:style>
  <w:style w:type="character" w:customStyle="1" w:styleId="ZkladntextTuen">
    <w:name w:val="Základný text + Tuené"/>
    <w:rsid w:val="006F17ED"/>
    <w:rPr>
      <w:rFonts w:ascii="Arial" w:hAnsi="Arial" w:cs="Arial"/>
      <w:b/>
      <w:bCs/>
      <w:spacing w:val="3"/>
      <w:sz w:val="17"/>
      <w:szCs w:val="17"/>
    </w:rPr>
  </w:style>
  <w:style w:type="paragraph" w:customStyle="1" w:styleId="features">
    <w:name w:val="features"/>
    <w:basedOn w:val="Normlny"/>
    <w:rsid w:val="006C5D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sk-SK"/>
    </w:rPr>
  </w:style>
  <w:style w:type="paragraph" w:styleId="Zkladntext30">
    <w:name w:val="Body Text 3"/>
    <w:basedOn w:val="Normlny"/>
    <w:link w:val="Zkladntext3Char"/>
    <w:rsid w:val="00B41BC0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0"/>
    <w:rsid w:val="00B41BC0"/>
    <w:rPr>
      <w:sz w:val="16"/>
      <w:szCs w:val="16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5131D3"/>
    <w:pPr>
      <w:suppressAutoHyphens/>
      <w:autoSpaceDN/>
      <w:adjustRightInd/>
      <w:spacing w:after="120"/>
      <w:ind w:left="283"/>
    </w:pPr>
    <w:rPr>
      <w:sz w:val="16"/>
      <w:szCs w:val="16"/>
      <w:lang w:val="x-none" w:eastAsia="ar-SA"/>
    </w:rPr>
  </w:style>
  <w:style w:type="character" w:customStyle="1" w:styleId="Zarkazkladnhotextu3Char">
    <w:name w:val="Zarážka základného textu 3 Char"/>
    <w:link w:val="Zarkazkladnhotextu3"/>
    <w:uiPriority w:val="99"/>
    <w:rsid w:val="005131D3"/>
    <w:rPr>
      <w:sz w:val="16"/>
      <w:szCs w:val="16"/>
      <w:lang w:eastAsia="ar-SA"/>
    </w:rPr>
  </w:style>
  <w:style w:type="paragraph" w:styleId="Odsekzoznamu">
    <w:name w:val="List Paragraph"/>
    <w:basedOn w:val="Normlny"/>
    <w:uiPriority w:val="34"/>
    <w:qFormat/>
    <w:rsid w:val="00880365"/>
    <w:pPr>
      <w:ind w:left="720"/>
      <w:contextualSpacing/>
    </w:pPr>
  </w:style>
  <w:style w:type="paragraph" w:customStyle="1" w:styleId="Default">
    <w:name w:val="Default"/>
    <w:rsid w:val="0024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ý text Char"/>
    <w:link w:val="Zkladntext"/>
    <w:rsid w:val="000A16FA"/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0A16FA"/>
    <w:rPr>
      <w:rFonts w:ascii="Arial" w:hAnsi="Arial" w:cs="Arial"/>
      <w:sz w:val="24"/>
      <w:szCs w:val="24"/>
      <w:lang w:eastAsia="cs-CZ"/>
    </w:rPr>
  </w:style>
  <w:style w:type="character" w:styleId="Zvraznenie">
    <w:name w:val="Emphasis"/>
    <w:basedOn w:val="Predvolenpsmoodseku"/>
    <w:uiPriority w:val="20"/>
    <w:qFormat/>
    <w:rsid w:val="00A17B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07C5E-2762-41E1-B493-B5D08C92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1931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</vt:lpstr>
    </vt:vector>
  </TitlesOfParts>
  <Company>Fittich-Temis</Company>
  <LinksUpToDate>false</LinksUpToDate>
  <CharactersWithSpaces>12913</CharactersWithSpaces>
  <SharedDoc>false</SharedDoc>
  <HLinks>
    <vt:vector size="24" baseType="variant">
      <vt:variant>
        <vt:i4>8061035</vt:i4>
      </vt:variant>
      <vt:variant>
        <vt:i4>-1</vt:i4>
      </vt:variant>
      <vt:variant>
        <vt:i4>1026</vt:i4>
      </vt:variant>
      <vt:variant>
        <vt:i4>1</vt:i4>
      </vt:variant>
      <vt:variant>
        <vt:lpwstr>http://www.grantech.sk/pict/lbb1956.jpg</vt:lpwstr>
      </vt:variant>
      <vt:variant>
        <vt:lpwstr/>
      </vt:variant>
      <vt:variant>
        <vt:i4>7798895</vt:i4>
      </vt:variant>
      <vt:variant>
        <vt:i4>-1</vt:i4>
      </vt:variant>
      <vt:variant>
        <vt:i4>1027</vt:i4>
      </vt:variant>
      <vt:variant>
        <vt:i4>1</vt:i4>
      </vt:variant>
      <vt:variant>
        <vt:lpwstr>http://www.grantech.sk/pict/lbb1992.jpg</vt:lpwstr>
      </vt:variant>
      <vt:variant>
        <vt:lpwstr/>
      </vt:variant>
      <vt:variant>
        <vt:i4>7798893</vt:i4>
      </vt:variant>
      <vt:variant>
        <vt:i4>-1</vt:i4>
      </vt:variant>
      <vt:variant>
        <vt:i4>1028</vt:i4>
      </vt:variant>
      <vt:variant>
        <vt:i4>1</vt:i4>
      </vt:variant>
      <vt:variant>
        <vt:lpwstr>http://www.grantech.sk/pict/lbb1990.jpg</vt:lpwstr>
      </vt:variant>
      <vt:variant>
        <vt:lpwstr/>
      </vt:variant>
      <vt:variant>
        <vt:i4>8192109</vt:i4>
      </vt:variant>
      <vt:variant>
        <vt:i4>-1</vt:i4>
      </vt:variant>
      <vt:variant>
        <vt:i4>1029</vt:i4>
      </vt:variant>
      <vt:variant>
        <vt:i4>1</vt:i4>
      </vt:variant>
      <vt:variant>
        <vt:lpwstr>http://www.grantech.sk/pict/lbb1930.jpg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Ladislav Kažimír</dc:creator>
  <cp:keywords/>
  <dc:description>technická správa</dc:description>
  <cp:lastModifiedBy>Marek Halač</cp:lastModifiedBy>
  <cp:revision>3</cp:revision>
  <cp:lastPrinted>2020-01-14T14:40:00Z</cp:lastPrinted>
  <dcterms:created xsi:type="dcterms:W3CDTF">2024-01-22T14:22:00Z</dcterms:created>
  <dcterms:modified xsi:type="dcterms:W3CDTF">2023-12-20T14:25:00Z</dcterms:modified>
</cp:coreProperties>
</file>